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800"/>
      </w:pPr>
      <w:r>
        <w:t xml:space="preserve"/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color w:val="1F4E79"/>
          <w:sz w:val="44"/>
          <w:szCs w:val="44"/>
        </w:rPr>
        <w:t xml:space="preserve">ANALIZA KIERUNKOWA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color w:val="595959"/>
          <w:sz w:val="32"/>
          <w:szCs w:val="32"/>
        </w:rPr>
        <w:t xml:space="preserve">System Ostrzegania i Alarmowania Ludności (SOIA)</w:t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22"/>
          <w:szCs w:val="22"/>
        </w:rPr>
        <w:t xml:space="preserve">wersja 2 — układ odgórny</w:t>
      </w:r>
    </w:p>
    <w:p>
      <w:pPr>
        <w:spacing w:after="240"/>
        <w:jc w:val="center"/>
      </w:pPr>
      <w:r>
        <w:rPr>
          <w:rFonts w:ascii="Calibri" w:cs="Calibri" w:eastAsia="Calibri" w:hAnsi="Calibri"/>
          <w:sz w:val="26"/>
          <w:szCs w:val="26"/>
        </w:rPr>
        <w:t xml:space="preserve">Pokrycie ogólnokrajowe — luki — obszary ryzyka powodziowego</w:t>
      </w:r>
    </w:p>
    <w:p>
      <w:pPr>
        <w:spacing w:after="800"/>
        <w:jc w:val="center"/>
      </w:pPr>
      <w:r>
        <w:rPr>
          <w:rFonts w:ascii="Calibri" w:cs="Calibri" w:eastAsia="Calibri" w:hAnsi="Calibri"/>
          <w:sz w:val="26"/>
          <w:szCs w:val="26"/>
        </w:rPr>
        <w:t>oraz integracja centralna przez CAP, IoT Feed, APN KG PSP i kanały odpornościowe</w:t>
      </w:r>
    </w:p>
    <w:p>
      <w:pPr>
        <w:spacing w:after="200" w:before="1200"/>
        <w:jc w:val="center"/>
      </w:pPr>
      <w:r>
        <w:rPr>
          <w:rFonts w:ascii="Calibri" w:cs="Calibri" w:eastAsia="Calibri" w:hAnsi="Calibri"/>
          <w:i/>
          <w:iCs/>
          <w:color w:val="595959"/>
          <w:sz w:val="22"/>
          <w:szCs w:val="22"/>
        </w:rPr>
        <w:t xml:space="preserve">Materiał dla: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Ministra Spraw Wewnętrznych i Administracji</w:t>
      </w:r>
    </w:p>
    <w:p>
      <w:pPr>
        <w:spacing w:after="800"/>
        <w:jc w:val="center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Komendanta Głównego Państwowej Straży Pożarnej</w:t>
      </w:r>
    </w:p>
    <w:p>
      <w:pPr>
        <w:spacing w:after="60" w:before="70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Data opracowania: 10 maja 2026 r.</w:t>
      </w:r>
    </w:p>
    <w:p>
      <w:pPr>
        <w:spacing w:after="28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Wersja danych źródłowych: inwentaryzacja z 5 maja 2026 r.; etap V13</w:t>
      </w:r>
    </w:p>
    <w:p>
      <w:pPr>
        <w:spacing w:after="60" w:before="200"/>
        <w:jc w:val="center"/>
      </w:pPr>
      <w:r>
        <w:rPr>
          <w:rFonts w:ascii="Calibri" w:cs="Calibri" w:eastAsia="Calibri" w:hAnsi="Calibri"/>
          <w:i/>
          <w:iCs/>
          <w:color w:val="595959"/>
          <w:sz w:val="22"/>
          <w:szCs w:val="22"/>
        </w:rPr>
        <w:t xml:space="preserve">Opracował analizę: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st. bryg. mgr inż. Michał Kłosiński</w:t>
      </w:r>
    </w:p>
    <w:p>
      <w:pPr>
        <w:spacing w:after="200"/>
        <w:jc w:val="center"/>
      </w:pPr>
      <w:r>
        <w:rPr>
          <w:rFonts w:ascii="Calibri" w:cs="Calibri" w:eastAsia="Calibri" w:hAnsi="Calibri"/>
          <w:color w:val="1F4E79"/>
          <w:sz w:val="22"/>
          <w:szCs w:val="22"/>
        </w:rPr>
        <w:t xml:space="preserve">Biuro Informatyki i Łączności KG PSP</w:t>
      </w:r>
    </w:p>
    <w:p>
      <w:pPr>
        <w:spacing w:after="60" w:before="80"/>
        <w:jc w:val="center"/>
      </w:pPr>
      <w:r>
        <w:rPr>
          <w:rFonts w:ascii="Calibri" w:cs="Calibri" w:eastAsia="Calibri" w:hAnsi="Calibri"/>
          <w:i/>
          <w:iCs/>
          <w:color w:val="595959"/>
          <w:sz w:val="22"/>
          <w:szCs w:val="22"/>
        </w:rPr>
        <w:t xml:space="preserve">Koordynator prac: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st. bryg. mgr inż. Marek Wnęk</w:t>
      </w:r>
    </w:p>
    <w:p>
      <w:pPr>
        <w:spacing w:after="240"/>
        <w:jc w:val="center"/>
      </w:pPr>
      <w:r>
        <w:rPr>
          <w:rFonts w:ascii="Calibri" w:cs="Calibri" w:eastAsia="Calibri" w:hAnsi="Calibri"/>
          <w:color w:val="1F4E79"/>
          <w:sz w:val="22"/>
          <w:szCs w:val="22"/>
        </w:rPr>
        <w:t xml:space="preserve">Biuro Ochrony Ludności KG PSP</w:t>
      </w:r>
    </w:p>
    <w:p>
      <w:pPr>
        <w:spacing w:after="60" w:before="80"/>
        <w:jc w:val="center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Warszawa, maj 2026 r.</w:t>
      </w:r>
    </w:p>
    <w:p>
      <w:r>
        <w:br w:type="page"/>
      </w:r>
    </w:p>
    <w:p>
      <w:pPr>
        <w:pStyle w:val="Heading1"/>
        <w:pBdr>
          <w:bottom w:val="single" w:color="1F4E79" w:sz="18" w:space="6"/>
        </w:pBdr>
        <w:spacing w:after="200" w:before="320"/>
      </w:pPr>
      <w:r>
        <w:rPr>
          <w:rFonts w:ascii="Calibri" w:cs="Calibri" w:eastAsia="Calibri" w:hAnsi="Calibri"/>
          <w:b/>
          <w:bCs/>
          <w:color w:val="1F4E79"/>
          <w:sz w:val="32"/>
          <w:szCs w:val="32"/>
        </w:rPr>
        <w:t xml:space="preserve">Spis treści</w:t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>Streszczenie dla decydentów</w:t>
        <w:tab/>
        <w:t>3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>CZĘŚĆ I — Pokrycie ogólnokrajowe sygnałem syren</w:t>
        <w:tab/>
        <w:t>4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1.1. Obraz krajowy — 22 614 syren, 77% mieszkańców w zasięgu</w:t>
        <w:tab/>
        <w:t>4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1.2. Mapa zasięgów akustycznych w Polsce</w:t>
        <w:tab/>
        <w:t>4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1.3. Pokrycie wg województw — od 86,6% do 64,4%</w:t>
        <w:tab/>
        <w:t>5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1.4. Pokrycie powiatów (380 jednostek)</w:t>
        <w:tab/>
        <w:t>7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1.5. Pokrycie gmin — najpełniejszy obraz przestrzenny (2 477 jednostek)</w:t>
        <w:tab/>
        <w:t>8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1.6. Treemap — proporcje populacyjne województw</w:t>
        <w:tab/>
        <w:t>9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1.7. Tabela wojewódzka — pełne dane</w:t>
        <w:tab/>
        <w:t>10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>CZĘŚĆ II — Luki w pokryciu</w:t>
        <w:tab/>
        <w:t>12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2.1. 13 050 zidentyfikowanych obszarów bez ostrzeżenia</w:t>
        <w:tab/>
        <w:t>12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2.2. Krzywa Pareto — koncentracja problemu (5% luk = 60% populacji)</w:t>
        <w:tab/>
        <w:t>13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2.3. Hotspoty populacyjne</w:t>
        <w:tab/>
        <w:t>14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2.4. Profil parku syren — co dziś mamy</w:t>
        <w:tab/>
        <w:t>16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>CZĘŚĆ III — Obszary ryzyka powodziowego</w:t>
        <w:tab/>
        <w:t>19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3.1. Skala ryzyka — 2,37 mln mieszkańców</w:t>
        <w:tab/>
        <w:t>19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3.2. Pokrycie syrenami w strefach ryzyka</w:t>
        <w:tab/>
        <w:t>19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3.3. Województwa z największym deficytem w strefach ryzyka</w:t>
        <w:tab/>
        <w:t>20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3.4. Mapa podwójnego ryzyka — najmocniejsza grafika decyzyjna</w:t>
        <w:tab/>
        <w:t>20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3.5. Cztery województwa krytyczne — zoom regionalny</w:t>
        <w:tab/>
        <w:t>21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3.6. Gminy z największym deficytem</w:t>
        <w:tab/>
        <w:t>23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>CZĘŚĆ IV — Obszary do doposażenia w syreny</w:t>
        <w:tab/>
        <w:t>25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4.0. Wizualizacja efektu wariantu PODSTAWOWEGO — PRZED/PO</w:t>
        <w:tab/>
        <w:t>25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4.1. Ranking nowych lokalizacji w strefach ryzyka</w:t>
        <w:tab/>
        <w:t>26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4.2. Modernizacja istniejących syren</w:t>
        <w:tab/>
        <w:t>26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4.3. Obiekty wrażliwe w obszarach luk klasy A</w:t>
        <w:tab/>
        <w:t>27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  4.4. Walidacja terenowa</w:t>
        <w:tab/>
        <w:t>29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>CZĘŚĆ V — Publiczny CAP, IoT Feed i kanały odpornościowe</w:t>
        <w:tab/>
        <w:t>30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/>
      <w:r>
        <w:t>5.1. CAP/PL-CAP — publiczna warstwa alertów</w:t>
        <w:tab/>
        <w:t>30</w:t>
      </w:r>
    </w:p>
    <w:p>
      <w:pPr/>
      <w:r>
        <w:t>5.2. ETAP I — publiczny feed i IoT Feed MVP</w:t>
        <w:tab/>
        <w:t>30</w:t>
      </w:r>
    </w:p>
    <w:p>
      <w:pPr/>
      <w:r>
        <w:t>5.3. Kontrakt IoT Feed — bezpieczeństwo i TERYT</w:t>
        <w:tab/>
        <w:t>30</w:t>
      </w:r>
    </w:p>
    <w:p>
      <w:pPr/>
      <w:r>
        <w:t>5.4. ETAP II — prywatny APN KG PSP</w:t>
        <w:tab/>
        <w:t>31</w:t>
      </w:r>
    </w:p>
    <w:p>
      <w:pPr/>
      <w:r>
        <w:t>5.5. ETAP III — LoRa/TETRA dla urządzeń krytycznych</w:t>
        <w:tab/>
        <w:t>31</w:t>
      </w:r>
    </w:p>
    <w:p>
      <w:pPr/>
      <w:r>
        <w:t>5.6. Rekomendacje decyzyjne</w:t>
        <w:tab/>
        <w:t>31</w:t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>CZĘŚĆ VI — Warianty budżetowe i decyzje (bubble chart)</w:t>
        <w:tab/>
        <w:t>32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pPr>
        <w:tabs>
          <w:tab w:val="right" w:pos="93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>Załączniki tabelaryczne i materiały źródłowe</w:t>
        <w:tab/>
        <w:t>35</w:t>
      </w:r>
      <w:r>
        <w:rPr>
          <w:rFonts w:ascii="Calibri" w:cs="Calibri" w:eastAsia="Calibri" w:hAnsi="Calibri"/>
          <w:color w:val="595959"/>
          <w:sz w:val="22"/>
          <w:szCs w:val="22"/>
        </w:rPr>
      </w:r>
    </w:p>
    <w:p>
      <w:r>
        <w:br w:type="page"/>
      </w:r>
    </w:p>
    <w:p>
      <w:pPr>
        <w:pStyle w:val="Heading1"/>
        <w:pBdr>
          <w:bottom w:val="single" w:color="1F4E79" w:sz="18" w:space="6"/>
        </w:pBdr>
        <w:spacing w:after="200" w:before="320"/>
      </w:pPr>
      <w:r>
        <w:rPr>
          <w:rFonts w:ascii="Calibri" w:cs="Calibri" w:eastAsia="Calibri" w:hAnsi="Calibri"/>
          <w:b/>
          <w:bCs/>
          <w:color w:val="1F4E79"/>
          <w:sz w:val="32"/>
          <w:szCs w:val="32"/>
        </w:rPr>
        <w:t xml:space="preserve">Streszczenie dla decydentów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System ostrzegania ludności w Polsce dysponuje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22 614 syrenami alarmowymi</w:t>
      </w:r>
      <w:r>
        <w:rPr>
          <w:rFonts w:ascii="Calibri" w:cs="Calibri" w:eastAsia="Calibri" w:hAnsi="Calibri"/>
          <w:sz w:val="22"/>
          <w:szCs w:val="22"/>
        </w:rPr>
        <w:t xml:space="preserve">. Modelowany sygnał (≥ 65 dB(A) — próg dobrej słyszalności w warunkach miejskich) dociera do </w:t>
      </w: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29,35 mln osób, czyli 77,2% mieszkańców kraju</w:t>
      </w:r>
      <w:r>
        <w:rPr>
          <w:rFonts w:ascii="Calibri" w:cs="Calibri" w:eastAsia="Calibri" w:hAnsi="Calibri"/>
          <w:sz w:val="22"/>
          <w:szCs w:val="22"/>
        </w:rPr>
        <w:t xml:space="preserve">. Poza zasięgiem pozostaje 8,7 mln osób — głównie na obszarach o rozproszonej zabudowie wiejskiej.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Pokrycie województw waha się od </w:t>
      </w:r>
      <w:r>
        <w:rPr>
          <w:rFonts w:ascii="Calibri" w:cs="Calibri" w:eastAsia="Calibri" w:hAnsi="Calibri"/>
          <w:b/>
          <w:bCs/>
          <w:color w:val="548235"/>
          <w:sz w:val="22"/>
          <w:szCs w:val="22"/>
        </w:rPr>
        <w:t xml:space="preserve">86,6% (śląskie) i 83,1% (łódzkie)</w:t>
      </w:r>
      <w:r>
        <w:rPr>
          <w:rFonts w:ascii="Calibri" w:cs="Calibri" w:eastAsia="Calibri" w:hAnsi="Calibri"/>
          <w:sz w:val="22"/>
          <w:szCs w:val="22"/>
        </w:rPr>
        <w:t xml:space="preserve"> do </w:t>
      </w:r>
      <w:r>
        <w:rPr>
          <w:rFonts w:ascii="Calibri" w:cs="Calibri" w:eastAsia="Calibri" w:hAnsi="Calibri"/>
          <w:b/>
          <w:bCs/>
          <w:color w:val="C00000"/>
          <w:sz w:val="22"/>
          <w:szCs w:val="22"/>
        </w:rPr>
        <w:t xml:space="preserve">64,4% (kujawsko-pomorskie) i 67,1% (warmińsko-mazurskie)</w:t>
      </w:r>
      <w:r>
        <w:rPr>
          <w:rFonts w:ascii="Calibri" w:cs="Calibri" w:eastAsia="Calibri" w:hAnsi="Calibri"/>
          <w:sz w:val="22"/>
          <w:szCs w:val="22"/>
        </w:rPr>
        <w:t xml:space="preserve">. Nawet województwa z dobrym pokryciem mają luki w gminach o rozproszonej zabudowie. Łącznie zidentyfikowano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13 050 obszarów luk inwestycyjnych</w:t>
      </w:r>
      <w:r>
        <w:rPr>
          <w:rFonts w:ascii="Calibri" w:cs="Calibri" w:eastAsia="Calibri" w:hAnsi="Calibri"/>
          <w:sz w:val="22"/>
          <w:szCs w:val="22"/>
        </w:rPr>
        <w:t xml:space="preserve"> wymagających analizy decyzyjnej.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Po nałożeniu zasięgów syren na krajowe mapy ryzyka powodziowego (ISOK / Wody Polskie) widać, że na obszarach zagrożonych powodzią mieszka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2,37 mln osób</w:t>
      </w:r>
      <w:r>
        <w:rPr>
          <w:rFonts w:ascii="Calibri" w:cs="Calibri" w:eastAsia="Calibri" w:hAnsi="Calibri"/>
          <w:sz w:val="22"/>
          <w:szCs w:val="22"/>
        </w:rPr>
        <w:t xml:space="preserve">, z czego </w:t>
      </w:r>
      <w:r>
        <w:rPr>
          <w:rFonts w:ascii="Calibri" w:cs="Calibri" w:eastAsia="Calibri" w:hAnsi="Calibri"/>
          <w:b/>
          <w:bCs/>
          <w:color w:val="C00000"/>
          <w:sz w:val="22"/>
          <w:szCs w:val="22"/>
        </w:rPr>
        <w:t xml:space="preserve">447 593 osoby (18,9%) pozostają poza zasięgiem skutecznego ostrzeżenia syrenowego</w:t>
      </w:r>
      <w:r>
        <w:rPr>
          <w:rFonts w:ascii="Calibri" w:cs="Calibri" w:eastAsia="Calibri" w:hAnsi="Calibri"/>
          <w:sz w:val="22"/>
          <w:szCs w:val="22"/>
        </w:rPr>
        <w:t xml:space="preserve">. To jest najbardziej krytyczna luka systemowa, którą należy zamknąć w pierwszej kolejności.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>Drugim — równolegle pilnym — kierunkiem jest integracja centralna systemu sterowania. Po analizie projektu KGPSP/CAP_ALERT rekomendowane jest wdrożenie trójetapowe: ETAP I — publiczny CAP/feed alertów i podpisany, jednokierunkowy IoT Feed dla dobrowolnie podłączonych urządzeń; ETAP II — prywatny APN KG PSP i zarządzane modemy/SIM dla urządzeń priorytetowych; ETAP III — LoRa i TETRA jako dywersyfikacja dla urządzeń krytycznych. CAP opisuje alert dla ludności, natomiast wzbudzanie syren i tablic informacyjnych jest widokiem wykonawczym PL-CAP-DIST-IOT, zabezpieczonym podpisem, TERYT i świadomym opt-in operatora.</w:t>
      </w: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</w:r>
      <w:r>
        <w:rPr>
          <w:rFonts w:ascii="Calibri" w:cs="Calibri" w:eastAsia="Calibri" w:hAnsi="Calibri"/>
          <w:sz w:val="22"/>
          <w:szCs w:val="22"/>
        </w:rPr>
      </w:r>
      <w:r>
        <w:rPr>
          <w:rFonts w:ascii="Calibri" w:cs="Calibri" w:eastAsia="Calibri" w:hAnsi="Calibri"/>
          <w:b/>
          <w:bCs/>
          <w:sz w:val="22"/>
          <w:szCs w:val="22"/>
        </w:rPr>
      </w:r>
      <w:r>
        <w:rPr>
          <w:rFonts w:ascii="Calibri" w:cs="Calibri" w:eastAsia="Calibri" w:hAnsi="Calibri"/>
          <w:sz w:val="22"/>
          <w:szCs w:val="22"/>
        </w:rPr>
      </w:r>
    </w:p>
    <w:p>
      <w:pPr>
        <w:spacing w:after="200" w:before="0" w:line="3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F4E79" w:sz="12"/>
              <w:left w:val="single" w:color="1F4E79" w:sz="24"/>
              <w:bottom w:val="single" w:color="1F4E79" w:sz="12"/>
              <w:right w:val="single" w:color="1F4E79" w:sz="4"/>
            </w:tcBorders>
            <w:shd w:fill="DEEBF7" w:val="clear"/>
            <w:tcMar>
              <w:top w:type="dxa" w:w="160"/>
              <w:left w:type="dxa" w:w="220"/>
              <w:bottom w:type="dxa" w:w="160"/>
              <w:right w:type="dxa" w:w="18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22"/>
                <w:szCs w:val="22"/>
              </w:rPr>
              <w:t xml:space="preserve">KLUCZOWE LICZBY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• 38,04 mln — ludność Polski (NSP 2021)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• 22 614 — łączna liczba syren w inwentaryzacji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• 77,2% — populacja w zasięgu skutecznego ostrzeżenia (≥ 65 dB(A))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• 8,7 mln — osoby poza zasięgiem (głównie obszary wiejskie)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• 13 050 — zidentyfikowanych luk wymagających analizy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• 2,37 mln — mieszkańcy obszarów ryzyka powodziowego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• 447 593 — osoby w obszarach ryzyka POZA zasięgiem syren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• 15 909 — syren bez modułu GSM (priorytet ETAPU I)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• 9 grup podmiotów odpowiedzialnych — fragmentacja sterowania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1F4E79" w:sz="18" w:space="6"/>
        </w:pBdr>
        <w:spacing w:after="200" w:before="320"/>
      </w:pPr>
      <w:r>
        <w:rPr>
          <w:rFonts w:ascii="Calibri" w:cs="Calibri" w:eastAsia="Calibri" w:hAnsi="Calibri"/>
          <w:b/>
          <w:bCs/>
          <w:color w:val="1F4E79"/>
          <w:sz w:val="32"/>
          <w:szCs w:val="32"/>
        </w:rPr>
        <w:t xml:space="preserve">CZĘŚĆ I — Pokrycie ogólnokrajowe sygnałem syren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1.1. Obraz krajowy — 22 614 syren, 77% mieszkańców w zasięgu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Inwentaryzacja przeprowadzona na potrzeby SOIA objęła wszystkie 16 województw. Po weryfikacji i usunięciu zduplikowanych zgłoszeń uzyskano 22 032 unikalne lokalizacje syren. Spośród nich 20 921 daje mierzalny zasięg akustyczny w modelu obliczeniowym — pozostałe wymagają korekty parametrów lub weryfikacji w terenie.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Modelowany zasięg uwzględnia trzy progi słyszalności: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65 dB(A) — sygnał dobrze słyszalny w warunkach typowej zabudowy miejskiej; jest to próg minimalny dla skutecznego ostrzegania (29,35 mln osób, 77,2% kraju);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70 dB(A) — sygnał wyraźnie słyszalny, również w pomieszczeniach niezamkniętych (22,45 mln osób, 59,0% kraju);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75 dB(A) — sygnał słyszalny w pomieszczeniach zwartej zabudowy mieszkaniowej (14,62 mln osób, 38,4% kraju).</w:t>
      </w:r>
    </w:p>
    <w:p>
      <w:pPr>
        <w:spacing w:after="60" w:before="160"/>
        <w:jc w:val="center"/>
      </w:pPr>
      <w:r>
        <w:drawing>
          <wp:inline distT="0" distB="0" distL="0" distR="0">
            <wp:extent cx="5143500" cy="2762250"/>
            <wp:effectExtent t="0" r="0" b="0" l="0"/>
            <wp:docPr id="1" name="01_pokrycie_kraj.png" descr="Wykres 1. Pokrycie ludności Polski sygnałem syren — trzy progi słyszalności. Próg 65 dB(A) jest podstawowym wskaźnikiem skuteczności systemu." title="Wykres 1. Pokrycie ludności Polski sygnałem syren — trzy progi słyszalności. Próg 65 dB(A) jest podstawowym wskaźnikiem skuteczności system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Wykres 1. Pokrycie ludności Polski sygnałem syren — trzy progi słyszalności. Próg 65 dB(A) jest podstawowym wskaźnikiem skuteczności systemu.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1.2. Mapa zasięgów akustycznych w Polsce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Poniższa mapa pokazuje przestrzenne rozmieszczenie zasięgów akustycznych syren w skali kraju. Widać wyraźnie skupiska w największych miastach (Warszawa, Łódź, Kraków, Wrocław, Katowice) oraz wzdłuż gęstszej sieci osadniczej. Obszary bez zasięgu (białe na mapie) to przede wszystkim tereny rolnicze województw warmińsko-mazurskiego, podlaskiego, lubelskiego oraz kujawsko-pomorskiego.</w:t>
      </w:r>
    </w:p>
    <w:p>
      <w:pPr>
        <w:spacing w:after="60" w:before="160"/>
        <w:jc w:val="center"/>
      </w:pPr>
      <w:r>
        <w:drawing>
          <wp:inline distT="0" distB="0" distL="0" distR="0">
            <wp:extent cx="5524500" cy="5143500"/>
            <wp:effectExtent t="0" r="0" b="0" l="0"/>
            <wp:docPr id="1" name="MAPA_01B_zasiegi_akustyczne.jpg" descr="Mapa 1. Zasięgi akustyczne syren alarmowych w Polsce — model V10 (rozdzielczość 100 m). Kolory wg modelowanego progu dźwięku w komórce." title="Mapa 1. Zasięgi akustyczne syren alarmowych w Polsce — model V10 (rozdzielczość 100 m). Kolory wg modelowanego progu dźwięku w komór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Mapa 1. Zasięgi akustyczne syren alarmowych w Polsce — model V10 (rozdzielczość 100 m). Kolory wg modelowanego progu dźwięku w komórce.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1.3. Pokrycie wg województw — od 86,6% do 64,4%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Pokrycie województw mierzone procentem mieszkańców w zasięgu sygnału ≥ 65 dB(A) jest wyraźnie zróżnicowane. Najlepiej wypada Śląskie (86,6%) — wynika to z bardzo gęstej zabudowy i silnej sieci syren w aglomeracji górnośląskiej. Najsłabiej — Kujawsko-Pomorskie (64,4%), gdzie liczne małe miejscowości nie są objęte zasięgiem.</w:t>
      </w:r>
    </w:p>
    <w:p>
      <w:pPr>
        <w:spacing w:after="60" w:before="160"/>
        <w:jc w:val="center"/>
      </w:pPr>
      <w:r>
        <w:drawing>
          <wp:inline distT="0" distB="0" distL="0" distR="0">
            <wp:extent cx="5524500" cy="3429000"/>
            <wp:effectExtent t="0" r="0" b="0" l="0"/>
            <wp:docPr id="1" name="W11_pokrycie_ogolne_wojewodztwa.png" descr="Wykres 2. Pokrycie ludności sygnałem syren wg województw — % mieszkańców w zasięgu ≥ 65 dB(A). Średnia krajowa: 76,9%." title="Wykres 2. Pokrycie ludności sygnałem syren wg województw — % mieszkańców w zasięgu ≥ 65 dB(A). Średnia krajowa: 76,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Wykres 2. Pokrycie ludności sygnałem syren wg województw — % mieszkańców w zasięgu ≥ 65 dB(A). Średnia krajowa: 76,9%.</w:t>
      </w:r>
    </w:p>
    <w:p>
      <w:pPr>
        <w:spacing w:after="60" w:before="160"/>
        <w:jc w:val="center"/>
      </w:pPr>
      <w:r>
        <w:drawing>
          <wp:inline distT="0" distB="0" distL="0" distR="0">
            <wp:extent cx="5143500" cy="5715000"/>
            <wp:effectExtent t="0" r="0" b="0" l="0"/>
            <wp:docPr id="1" name="W12_mapa_pokrycia_woj.jpg" descr="Mapa 2. Choropleth pokrycia województw — czerwone obszary mają najsłabsze pokrycie, zielone — najsilniejsze. Etykiety pokazują % i liczbę osób w zasięgu." title="Mapa 2. Choropleth pokrycia województw — czerwone obszary mają najsłabsze pokrycie, zielone — najsilniejsze. Etykiety pokazują % i liczbę osób w zasięg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Mapa 2. Choropleth pokrycia województw — czerwone obszary mają najsłabsze pokrycie, zielone — najsilniejsze. Etykiety pokazują % i liczbę osób w zasięgu.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1.4. Pokrycie powiatów (380 jednostek)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Mapa wojewódzka maskuje silne zróżnicowanie wewnątrzregionalne. Na poziomie powiatów obraz jest dramatycznie inny: w tym samym województwie sąsiadują powiaty z pokryciem powyżej 90% (zwykle miasta na prawach powiatu) z powiatami ziemskimi, w których pokrycie spada poniżej 30%. Powiaty ziemskie wokół miast wojewódzkich (np. ziemski Zamość, Włocławek, Głogów) mają najniższe pokrycie — syreny są skoncentrowane w sąsiednim mieście, a populacja wiejska wokół pozostaje poza zasięgiem.</w:t>
      </w:r>
    </w:p>
    <w:p>
      <w:pPr>
        <w:spacing w:after="60" w:before="160"/>
        <w:jc w:val="center"/>
      </w:pPr>
      <w:r>
        <w:drawing>
          <wp:inline distT="0" distB="0" distL="0" distR="0">
            <wp:extent cx="5143500" cy="4476750"/>
            <wp:effectExtent t="0" r="0" b="0" l="0"/>
            <wp:docPr id="1" name="MAPA_07_pokrycie_powiaty.jpg" descr="Mapa 3. Choropleth 380 powiatów — % populacji w zasięgu syren. Białe powiaty: ekstremalnie niskie pokrycie (głównie powiaty ziemskie wokół miast wojewódzkich)." title="Mapa 3. Choropleth 380 powiatów — % populacji w zasięgu syren. Białe powiaty: ekstremalnie niskie pokrycie (głównie powiaty ziemskie wokół miast wojewódzkich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Mapa 3. Choropleth 380 powiatów — % populacji w zasięgu syren. Białe powiaty: ekstremalnie niskie pokrycie (głównie powiaty ziemskie wokół miast wojewódzkich).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1.5. Pokrycie gmin — najpełniejszy obraz przestrzenny (2 477 jednostek)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Dopiero mapa gmin pokazuje rzeczywisty wzór problemu. Średnia ważona dla gmin to 66,9% (znacznie niżej niż dla województw, bo gminy wiejskie są mniejsze i częściej całkowicie poza zasięgiem). Mapa gmin to najmocniejszy pojedynczy obraz w dokumencie — pokazuje, że problem nie jest losowy, tylko ma wyraźny wzorzec: rdzenie miast = zielone, peryferie wiejskie = pomarańczowe, najbardziej rozproszone obszary wiejskie = czerwone.</w:t>
      </w:r>
    </w:p>
    <w:p>
      <w:pPr>
        <w:spacing w:after="60" w:before="160"/>
        <w:jc w:val="center"/>
      </w:pPr>
      <w:r>
        <w:drawing>
          <wp:inline distT="0" distB="0" distL="0" distR="0">
            <wp:extent cx="5143500" cy="5143500"/>
            <wp:effectExtent t="0" r="0" b="0" l="0"/>
            <wp:docPr id="1" name="MAPA_08_pokrycie_gmin.jpg" descr="Mapa 4. Choropleth 2 477 gmin — % mieszkańców w zasięgu syren. Najpełniejszy obraz przestrzenny dystrybucji problemu." title="Mapa 4. Choropleth 2 477 gmin — % mieszkańców w zasięgu syren. Najpełniejszy obraz przestrzenny dystrybucji problem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Mapa 4. Choropleth 2 477 gmin — % mieszkańców w zasięgu syren. Najpełniejszy obraz przestrzenny dystrybucji problemu.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1.6. Treemap — proporcje populacyjne województw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Treemap kompresuje cały kraj do jednego obrazu: wielkość każdego kafelka odpowiada populacji województwa, a podział kolorystyczny pokazuje udział populacji w zasięgu (kolor) i poza zasięgiem (jasnoróżowa część kafelka). Mazowieckie i śląskie zajmują największą powierzchnię, ale to mazowieckie ma większą bezwzględną liczbę osób bez ostrzeżenia.</w:t>
      </w:r>
    </w:p>
    <w:p>
      <w:pPr>
        <w:spacing w:after="60" w:before="160"/>
        <w:jc w:val="center"/>
      </w:pPr>
      <w:r>
        <w:drawing>
          <wp:inline distT="0" distB="0" distL="0" distR="0">
            <wp:extent cx="5143500" cy="3333750"/>
            <wp:effectExtent t="0" r="0" b="0" l="0"/>
            <wp:docPr id="1" name="W21_treemap_populacja.png" descr="Wykres 3. Treemap populacji województw — proporcje wielkości i udział w zasięgu syren." title="Wykres 3. Treemap populacji województw — proporcje wielkości i udział w zasięgu syr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Wykres 3. Treemap populacji województw — proporcje wielkości i udział w zasięgu syren.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1.7. Tabela wojewódzka — pełne dane</w:t>
      </w:r>
    </w:p>
    <w:p>
      <w:pPr>
        <w:spacing w:after="100" w:before="0" w:line="320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Tabela 1. Pokrycie OGÓLNE województw sygnałem syren ≥ 65 dB(A) — populacja w zasięgu i poza zasięgiem.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900"/>
        <w:gridCol w:w="1900"/>
        <w:gridCol w:w="1100"/>
        <w:gridCol w:w="1500"/>
        <w:gridCol w:w="1038"/>
      </w:tblGrid>
      <w:tr>
        <w:trPr>
          <w:tblHeader/>
        </w:trP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Województwo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Mieszkańców (NSP 2021)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 zasięgu ≥ 65 dB(A)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% w zasięgu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POZA zasięgiem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% poza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ŚLĄSKIE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4 365 287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3 779 090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86,6%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586 197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13,4%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ŁÓDZKIE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2 401 993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1 995 460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83,1%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406 533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16,9%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MAZOWIECKIE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5 512 794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4 413 178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80,1%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1 099 616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19,9%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PODKARPACKIE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2 080 611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1 636 286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78,6%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444 325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21,4%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OPOLSKIE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954 048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746 789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78,3%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207 259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21,7%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WIELKOPOLSKIE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3 494 468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2 725 141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78,0%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769 327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22,0%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PODLASKIE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1 149 365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894 258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77,8%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255 107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22,2%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ZACHODNIOPOMORSKIE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1 641 189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1 270 004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77,4%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371 185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22,6%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MAŁOPOLSKIE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3 431 499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2 587 352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75,4%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844 147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24,6%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LUBUSKIE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989 981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731 220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73,9%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258 761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26,1%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2 891 321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2 110 555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73,0%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780 766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27,0%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LUBELSKIE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2 068 134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1 499 082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72,5%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569 052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27,5%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POMORSKIE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2 350 067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1 695 004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72,1%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655 063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27,9%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ŚWIĘTOKRZYSKIE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1 199 094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853 170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71,2%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345 924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28,8%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WARMIŃSKO-MAZURSKIE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1 389 810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931 921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67,1%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457 889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32,9%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KUJAWSKO-POMORSKIE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2 031 471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1 307 795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64,4%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723 676</w:t>
            </w:r>
          </w:p>
        </w:tc>
        <w:tc>
          <w:tcPr>
            <w:tcW w:type="dxa" w:w="1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35,6%</w:t>
            </w:r>
          </w:p>
        </w:tc>
      </w:tr>
    </w:tbl>
    <w:p>
      <w:pPr>
        <w:spacing w:after="200" w:before="0" w:line="3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F4E79" w:sz="12"/>
              <w:left w:val="single" w:color="1F4E79" w:sz="24"/>
              <w:bottom w:val="single" w:color="1F4E79" w:sz="12"/>
              <w:right w:val="single" w:color="1F4E79" w:sz="4"/>
            </w:tcBorders>
            <w:shd w:fill="DEEBF7" w:val="clear"/>
            <w:tcMar>
              <w:top w:type="dxa" w:w="160"/>
              <w:left w:type="dxa" w:w="220"/>
              <w:bottom w:type="dxa" w:w="160"/>
              <w:right w:type="dxa" w:w="18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22"/>
                <w:szCs w:val="22"/>
              </w:rPr>
              <w:t xml:space="preserve">WNIOSEK CZĘŚCI I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Pokrycie kraju jest wysokie (77,2%), ale nierównomierne — różnica między najlepszym a najsłabszym województwem to 22 punkty procentowe.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Cztery województwa mają poniżej 73% pokrycia: kujawsko-pomorskie, warmińsko-mazurskie, świętokrzyskie i pomorskie. To w nich należy w pierwszej kolejności analizować potencjał inwestycyjny.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Zwiększanie liczby syren wszędzie jest nieefektywne — dalsza analiza (Część II) wskaże konkretne miejsca o największym znaczeniu.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1F4E79" w:sz="18" w:space="6"/>
        </w:pBdr>
        <w:spacing w:after="200" w:before="320"/>
      </w:pPr>
      <w:r>
        <w:rPr>
          <w:rFonts w:ascii="Calibri" w:cs="Calibri" w:eastAsia="Calibri" w:hAnsi="Calibri"/>
          <w:b/>
          <w:bCs/>
          <w:color w:val="1F4E79"/>
          <w:sz w:val="32"/>
          <w:szCs w:val="32"/>
        </w:rPr>
        <w:t xml:space="preserve">CZĘŚĆ II — Luki w pokryciu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2.1. 13 050 zidentyfikowanych obszarów bez ostrzeżenia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Z modelu V12 wynika, że na terenie Polski znajduje się 13 050 odrębnych obszarów (luk), w których brak skutecznego zasięgu syren nakłada się na obszar wymagający ostrzegania. Każda luka jest scharakteryzowana liczbą osób bez ostrzeżenia, klasą ryzyka i rekomendowanym działaniem inwestycyjnym.</w:t>
      </w:r>
    </w:p>
    <w:p>
      <w:pPr>
        <w:spacing w:after="100" w:before="0" w:line="320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Tabela 2. Klasyfikacja luk inwestycyjnych wg klasy priorytetu.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500"/>
        <w:gridCol w:w="3500"/>
        <w:gridCol w:w="2238"/>
      </w:tblGrid>
      <w:tr>
        <w:trPr>
          <w:tblHeader/>
        </w:trP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Klasa priorytetu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Liczba luk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Charakterystyka</w:t>
            </w:r>
          </w:p>
        </w:tc>
        <w:tc>
          <w:tcPr>
            <w:tcW w:type="dxa" w:w="2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Rekomendacja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 — pilne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241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Wysoka populacja, wysokie ryzyko, brak alternatyw</w:t>
            </w:r>
          </w:p>
        </w:tc>
        <w:tc>
          <w:tcPr>
            <w:tcW w:type="dxa" w:w="2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Działanie w pierwszej kolejności (12 mies.)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B — wysoki priorytet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2 616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Istotna populacja lub wysokie ryzyko</w:t>
            </w:r>
          </w:p>
        </w:tc>
        <w:tc>
          <w:tcPr>
            <w:tcW w:type="dxa" w:w="2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Działanie po potwierdzeniu lokalizacji (24 mies.)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 — rezerwa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5 036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Mniejsze populacje, średnie ryzyko</w:t>
            </w:r>
          </w:p>
        </w:tc>
        <w:tc>
          <w:tcPr>
            <w:tcW w:type="dxa" w:w="2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Modernizacja tańszym wariantem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 — niski priorytet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5 157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Małe populacje lub niskie ryzyko</w:t>
            </w:r>
          </w:p>
        </w:tc>
        <w:tc>
          <w:tcPr>
            <w:tcW w:type="dxa" w:w="2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Monitorować, nie inwestować priorytetowo</w:t>
            </w:r>
          </w:p>
        </w:tc>
      </w:tr>
    </w:tbl>
    <w:p>
      <w:pPr>
        <w:spacing w:after="60" w:before="160"/>
        <w:jc w:val="center"/>
      </w:pPr>
      <w:r>
        <w:drawing>
          <wp:inline distT="0" distB="0" distL="0" distR="0">
            <wp:extent cx="5524500" cy="5143500"/>
            <wp:effectExtent t="0" r="0" b="0" l="0"/>
            <wp:docPr id="1" name="MAPA_03_luki_priorytetowe.jpg" descr="Mapa 5. Wszystkie 13 050 luk inwestycyjnych w Polsce — kolorowanie wg klasy priorytetu. Klasa A (czerwone) = pilne; klasy B/C/D = niższe priorytety." title="Mapa 5. Wszystkie 13 050 luk inwestycyjnych w Polsce — kolorowanie wg klasy priorytetu. Klasa A (czerwone) = pilne; klasy B/C/D = niższe prioryte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Mapa 5. Wszystkie 13 050 luk inwestycyjnych w Polsce — kolorowanie wg klasy priorytetu. Klasa A (czerwone) = pilne; klasy B/C/D = niższe priorytety.</w:t>
      </w:r>
    </w:p>
    <w:p>
      <w:pPr>
        <w:pStyle w:val="Heading3"/>
        <w:spacing w:after="100" w:before="200"/>
      </w:pPr>
      <w:r>
        <w:rPr>
          <w:rFonts w:ascii="Calibri" w:cs="Calibri" w:eastAsia="Calibri" w:hAnsi="Calibri"/>
          <w:b/>
          <w:bCs/>
          <w:color w:val="595959"/>
          <w:sz w:val="22"/>
          <w:szCs w:val="22"/>
        </w:rPr>
        <w:t xml:space="preserve">Krzywa Pareto — koncentracja problemu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Analiza Pareto luk pokazuje silną koncentrację: </w:t>
      </w: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5% najpilniejszych luk pokrywa 60% całej populacji bez ostrzeżenia, a 20% luk — niemal 84%</w:t>
      </w:r>
      <w:r>
        <w:rPr>
          <w:rFonts w:ascii="Calibri" w:cs="Calibri" w:eastAsia="Calibri" w:hAnsi="Calibri"/>
          <w:sz w:val="22"/>
          <w:szCs w:val="22"/>
        </w:rPr>
        <w:t xml:space="preserve">. Ten wzorzec uzasadnia podejście warianowe: zamknięcie pierwszych 451 luk klasy A (3,5% wszystkich luk) daje większość efektu populacyjnego za ułamek kosztu wariantu docelowego.</w:t>
      </w:r>
    </w:p>
    <w:p>
      <w:pPr>
        <w:spacing w:after="60" w:before="160"/>
        <w:jc w:val="center"/>
      </w:pPr>
      <w:r>
        <w:drawing>
          <wp:inline distT="0" distB="0" distL="0" distR="0">
            <wp:extent cx="5143500" cy="3048000"/>
            <wp:effectExtent t="0" r="0" b="0" l="0"/>
            <wp:docPr id="1" name="W15_pareto_luk.png" descr="Wykres 4. Krzywa Pareto luk — skumulowany % populacji bez ostrzeżenia w funkcji % zamkniętych luk. Mocny argument liczbowy za wariantem podstawowym/optymalnym." title="Wykres 4. Krzywa Pareto luk — skumulowany % populacji bez ostrzeżenia w funkcji % zamkniętych luk. Mocny argument liczbowy za wariantem podstawowym/optymalny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Wykres 4. Krzywa Pareto luk — skumulowany % populacji bez ostrzeżenia w funkcji % zamkniętych luk. Mocny argument liczbowy za wariantem podstawowym/optymalnym.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2.2. Hotspoty populacyjne — gdzie pojedyncza luka obejmuje najwięcej osób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Mapa hotspotów pokazuje 100 luk, w których liczba osób bez ostrzeżenia jest największa. Rozmiar kropki odzwierciedla liczbę mieszkańców. Największe pojedyncze luki znajdują się w gminach: Kęty (7 344 osób), Szczucin (5 283), Kraków (4 591), Świdnica (4 225) i Czernica (4 149).</w:t>
      </w:r>
    </w:p>
    <w:p>
      <w:pPr>
        <w:spacing w:after="60" w:before="160"/>
        <w:jc w:val="center"/>
      </w:pPr>
      <w:r>
        <w:drawing>
          <wp:inline distT="0" distB="0" distL="0" distR="0">
            <wp:extent cx="5524500" cy="5143500"/>
            <wp:effectExtent t="0" r="0" b="0" l="0"/>
            <wp:docPr id="1" name="MAPA_05_hotspoty_top100.jpg" descr="Mapa 4. TOP 100 hotspotów populacyjnych — etykiety na 10 największych lukach. Skala kropki proporcjonalna do liczby mieszkańców bez ostrzeżenia." title="Mapa 4. TOP 100 hotspotów populacyjnych — etykiety na 10 największych lukach. Skala kropki proporcjonalna do liczby mieszkańców bez ostrzeż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Mapa 4. TOP 100 hotspotów populacyjnych — etykiety na 10 największych lukach. Skala kropki proporcjonalna do liczby mieszkańców bez ostrzeżenia.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2.3. Województwa wymagające najszybszego działania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Liczbowo największe deficyty pokrycia (mierzone bezwzględną liczbą mieszkańców poza zasięgiem) odnotowano w województwach: mazowieckim (1,10 mln osób), małopolskim (844 tys.) i dolnośląskim (781 tys.). To liczby ogólne — w Części III pokażemy, jak ta sama metryka wygląda w obszarach ryzyka powodziowego.</w:t>
      </w:r>
    </w:p>
    <w:p>
      <w:pPr>
        <w:spacing w:after="60" w:before="160"/>
        <w:jc w:val="center"/>
      </w:pPr>
      <w:r>
        <w:drawing>
          <wp:inline distT="0" distB="0" distL="0" distR="0">
            <wp:extent cx="5524500" cy="3429000"/>
            <wp:effectExtent t="0" r="0" b="0" l="0"/>
            <wp:docPr id="1" name="W13_osoby_poza_zasiegiem_woj.png" descr="Wykres 5. Liczba mieszkańców województwa POZA zasięgiem syren ≥ 65 dB(A) — wartości bezwzględne (w tysiącach)." title="Wykres 5. Liczba mieszkańców województwa POZA zasięgiem syren ≥ 65 dB(A) — wartości bezwzględne (w tysiącach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Wykres 5. Liczba mieszkańców województwa POZA zasięgiem syren ≥ 65 dB(A) — wartości bezwzględne (w tysiącach).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2.4. Profil parku syren — co dziś mamy</w:t>
      </w:r>
    </w:p>
    <w:p>
      <w:pPr>
        <w:spacing w:after="120" w:line="320"/>
      </w:pPr>
      <w:r>
        <w:rPr>
          <w:rFonts w:ascii="Calibri" w:hAnsi="Calibri" w:eastAsia="Calibri"/>
          <w:b w:val="0"/>
          <w:i w:val="0"/>
          <w:sz w:val="22"/>
        </w:rPr>
        <w:t>Zanim wskażemy luki do zamknięcia, warto zobaczyć aktualny profil parku syren w Polsce. W ujęciu krajowym inwentaryzacja V9 obejmuje 22 614 syren: 14 629 analogowych (64,7%) i 7 985 cyfrowych (35,3%). Cztery wykresy pokazują strukturę inwentaryzacji V9 w czterech wymiarach: typ (cyfrowe vs analogowe), klasę mocy, wysokość montażu nad terenem oraz status łączności GSM. Podział wojewódzki doprecyzowuje, gdzie modernizacja powinna oznaczać przede wszystkim cyfryzację i integrację sterowania, a gdzie najpierw utrzymanie dużej skali istniejącego parku.</w:t>
      </w:r>
    </w:p>
    <w:p>
      <w:pPr>
        <w:spacing w:after="60" w:before="160"/>
        <w:jc w:val="center"/>
      </w:pPr>
      <w:r>
        <w:drawing>
          <wp:inline distT="0" distB="0" distL="0" distR="0">
            <wp:extent cx="5524500" cy="3810000"/>
            <wp:effectExtent t="0" r="0" b="0" l="0"/>
            <wp:docPr id="1" name="W20_struktura_syren.png" descr="Wykres 6. Profil parku syren w Polsce — typ, moc, wysokość montażu, status GSM. 14 629 (65%) syren analogowych, 70% syren bez monitorowanego GSM." title="Wykres 6. Profil parku syren w Polsce — typ, moc, wysokość montażu, status GSM. 14 629 (65%) syren analogowych, 70% syren bez monitorowanego GS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Wykres 6. Profil parku syren w Polsce — typ, moc, wysokość montażu, status GSM. 14 629 (65%) syren analogowych, 70% syren bez monitorowanego GSM.</w:t>
      </w:r>
    </w:p>
    <w:p>
      <w:pPr>
        <w:spacing w:after="0"/>
      </w:pPr>
      <w:r>
        <w:br w:type="page"/>
      </w:r>
    </w:p>
    <w:p>
      <w:pPr>
        <w:pStyle w:val="Heading3"/>
        <w:spacing w:after="80" w:before="160"/>
      </w:pPr>
      <w:r>
        <w:rPr>
          <w:rFonts w:ascii="Calibri" w:hAnsi="Calibri" w:eastAsia="Calibri"/>
          <w:b/>
          <w:i w:val="0"/>
          <w:color w:val="1F4E79"/>
          <w:sz w:val="24"/>
        </w:rPr>
        <w:t>Podział wojewódzki typów syren</w:t>
      </w:r>
    </w:p>
    <w:p>
      <w:pPr>
        <w:spacing w:after="120"/>
      </w:pPr>
      <w:r>
        <w:rPr>
          <w:rFonts w:ascii="Calibri" w:hAnsi="Calibri" w:eastAsia="Calibri"/>
          <w:b w:val="0"/>
          <w:i w:val="0"/>
          <w:sz w:val="22"/>
        </w:rPr>
        <w:t>Rozkład typów nie jest równomierny: w 14 z 16 województw przeważają syreny analogowe. Przewagę cyfrowych mają tylko województwa pomorskie i śląskie, natomiast największy wolumen parku pozostaje w województwach mazowieckim, wielkopolskim i lubelskim. Oznacza to, że program modernizacji powinien łączyć kryterium skali z kryterium udziału urządzeń analogowych.</w:t>
      </w:r>
    </w:p>
    <w:p>
      <w:pPr>
        <w:spacing w:after="60" w:before="60"/>
      </w:pPr>
      <w:r>
        <w:rPr>
          <w:rFonts w:ascii="Calibri" w:hAnsi="Calibri" w:eastAsia="Calibri"/>
          <w:b w:val="0"/>
          <w:i/>
          <w:color w:val="5A6673"/>
          <w:sz w:val="18"/>
        </w:rPr>
        <w:t>Tabela 2A. Profil parku syren według województw — liczba i udział typów.</w:t>
      </w:r>
    </w:p>
    <w:tbl>
      <w:tblPr>
        <w:tblW w:type="dxa" w:w="9241"/>
        <w:tblLayout w:type="fixed"/>
        <w:tblLook w:firstColumn="1" w:firstRow="1" w:lastColumn="0" w:lastRow="0" w:noHBand="0" w:noVBand="1" w:val="04A0"/>
        <w:tblBorders>
          <w:top w:val="single" w:sz="4" w:space="0" w:color="B7C7D6"/>
          <w:left w:val="single" w:sz="4" w:space="0" w:color="B7C7D6"/>
          <w:bottom w:val="single" w:sz="4" w:space="0" w:color="B7C7D6"/>
          <w:right w:val="single" w:sz="4" w:space="0" w:color="B7C7D6"/>
          <w:insideH w:val="single" w:sz="4" w:space="0" w:color="B7C7D6"/>
          <w:insideV w:val="single" w:sz="4" w:space="0" w:color="B7C7D6"/>
        </w:tblBorders>
      </w:tblPr>
      <w:tblGrid>
        <w:gridCol w:w="1848"/>
        <w:gridCol w:w="1848"/>
        <w:gridCol w:w="1848"/>
        <w:gridCol w:w="1848"/>
        <w:gridCol w:w="1848"/>
      </w:tblGrid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1F4E79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Województwo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1F4E79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Razem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1F4E79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Analogowe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1F4E79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Cyfrowe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1F4E79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Profil dominujący</w:t>
            </w:r>
          </w:p>
        </w:tc>
      </w:tr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Mazowieckie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3 465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1 980 (57,1%)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1 485 (42,9%)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analogowy</w:t>
            </w:r>
          </w:p>
        </w:tc>
      </w:tr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Wielkopolskie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2 455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1 772 (72,2%)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683 (27,8%)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analogowy</w:t>
            </w:r>
          </w:p>
        </w:tc>
      </w:tr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Lubelskie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1 798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1 588 (88,3%)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210 (11,7%)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analogowy</w:t>
            </w:r>
          </w:p>
        </w:tc>
      </w:tr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Małopolskie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1 756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1 191 (67,8%)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565 (32,2%)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analogowy</w:t>
            </w:r>
          </w:p>
        </w:tc>
      </w:tr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Śląskie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1 717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774 (45,1%)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943 (54,9%)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cyfrowy</w:t>
            </w:r>
          </w:p>
        </w:tc>
      </w:tr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Podkarpackie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1 685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1 169 (69,4%)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516 (30,6%)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analogowy</w:t>
            </w:r>
          </w:p>
        </w:tc>
      </w:tr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Łódzkie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1 651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1 284 (77,8%)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367 (22,2%)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analogowy</w:t>
            </w:r>
          </w:p>
        </w:tc>
      </w:tr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Dolnośląskie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1 166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636 (54,5%)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530 (45,5%)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analogowy</w:t>
            </w:r>
          </w:p>
        </w:tc>
      </w:tr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Kujawsko-Pomorskie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1 139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906 (79,5%)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233 (20,5%)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analogowy</w:t>
            </w:r>
          </w:p>
        </w:tc>
      </w:tr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Pomorskie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1 076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366 (34,0%)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710 (66,0%)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cyfrowy</w:t>
            </w:r>
          </w:p>
        </w:tc>
      </w:tr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Świętokrzyskie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948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749 (79,0%)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199 (21,0%)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analogowy</w:t>
            </w:r>
          </w:p>
        </w:tc>
      </w:tr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Podlaskie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910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585 (64,3%)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325 (35,7%)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analogowy</w:t>
            </w:r>
          </w:p>
        </w:tc>
      </w:tr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Zachodniopomorskie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866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469 (54,2%)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397 (45,8%)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analogowy</w:t>
            </w:r>
          </w:p>
        </w:tc>
      </w:tr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Warmińsko-Mazurskie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727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437 (60,1%)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290 (39,9%)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analogowy</w:t>
            </w:r>
          </w:p>
        </w:tc>
      </w:tr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Opolskie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703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426 (60,6%)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277 (39,4%)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analogowy</w:t>
            </w:r>
          </w:p>
        </w:tc>
      </w:tr>
      <w:tr>
        <w:tc>
          <w:tcPr>
            <w:tcW w:type="dxa" w:w="243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Lubuskie</w:t>
            </w:r>
          </w:p>
        </w:tc>
        <w:tc>
          <w:tcPr>
            <w:tcW w:type="dxa" w:w="11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552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297 (53,8%)</w:t>
            </w:r>
          </w:p>
        </w:tc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righ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255 (46,2%)</w:t>
            </w:r>
          </w:p>
        </w:tc>
        <w:tc>
          <w:tcPr>
            <w:tcW w:type="dxa" w:w="175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analogowy</w:t>
            </w:r>
          </w:p>
        </w:tc>
      </w:tr>
    </w:tbl>
    <w:p>
      <w:pPr>
        <w:spacing w:after="120" w:before="120"/>
      </w:pPr>
      <w:r>
        <w:rPr>
          <w:rFonts w:ascii="Calibri" w:hAnsi="Calibri" w:eastAsia="Calibri"/>
          <w:b w:val="0"/>
          <w:i w:val="0"/>
          <w:sz w:val="22"/>
        </w:rPr>
        <w:t>Interpretacja operacyjna. Sam wskaźnik krajowy 65/35 nie wystarcza do planowania. Województwa o dużym wolumenie syren wymagają stabilnego programu utrzymania i integracji, a województwa silnie analogowe — w pierwszej kolejności doposażenia w sterowanie i łączność. Pomorskie i Śląskie mogą być traktowane jako punkt odniesienia dla docelowego profilu cyfrowego, ale nie zdejmują z programu krajowego potrzeby modernizacji regionów o największej liczbie urządzeń.</w:t>
      </w:r>
    </w:p>
    <w:p>
      <w:r>
        <w:br w:type="page"/>
      </w:r>
    </w:p>
    <w:p>
      <w:pPr>
        <w:pStyle w:val="Heading1"/>
        <w:pBdr>
          <w:bottom w:val="single" w:color="1F4E79" w:sz="18" w:space="6"/>
        </w:pBdr>
        <w:spacing w:after="200" w:before="320"/>
      </w:pPr>
      <w:r>
        <w:rPr>
          <w:rFonts w:ascii="Calibri" w:cs="Calibri" w:eastAsia="Calibri" w:hAnsi="Calibri"/>
          <w:b/>
          <w:bCs/>
          <w:color w:val="1F4E79"/>
          <w:sz w:val="32"/>
          <w:szCs w:val="32"/>
        </w:rPr>
        <w:t xml:space="preserve">CZĘŚĆ III — Obszary ryzyka powodziowego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3.1. Skala ryzyka — 2,37 mln mieszkańców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Krajowe mapy ryzyka powodziowego (opracowane przez Państwowe Gospodarstwo Wodne Wody Polskie w ramach systemu ISOK) identyfikują 1 741 142 odrębne obszary ryzyka, z czego 404 796 zaklasyfikowano jako wysokie ryzyko. Po nałożeniu siatki ludności GUS NSP 2021 uzyskano:</w:t>
      </w:r>
    </w:p>
    <w:p>
      <w:pPr>
        <w:spacing w:after="100" w:before="0" w:line="320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Tabela 3. Mieszkańcy obszarów ryzyka powodziowego w Polsce wg klasy ryzyka.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2900"/>
        <w:gridCol w:w="2238"/>
      </w:tblGrid>
      <w:tr>
        <w:trPr>
          <w:tblHeader/>
        </w:trPr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Klasa ryzyka powodziowego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Mieszkańcy (osoby)</w:t>
            </w:r>
          </w:p>
        </w:tc>
        <w:tc>
          <w:tcPr>
            <w:tcW w:type="dxa" w:w="2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Udział kraju</w:t>
            </w:r>
          </w:p>
        </w:tc>
      </w:tr>
      <w:tr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wysokie ryzyko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1 527 797</w:t>
            </w:r>
          </w:p>
        </w:tc>
        <w:tc>
          <w:tcPr>
            <w:tcW w:type="dxa" w:w="2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4,02%</w:t>
            </w:r>
          </w:p>
        </w:tc>
      </w:tr>
      <w:tr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niskie ryzyko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839 719</w:t>
            </w:r>
          </w:p>
        </w:tc>
        <w:tc>
          <w:tcPr>
            <w:tcW w:type="dxa" w:w="2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2,21%</w:t>
            </w:r>
          </w:p>
        </w:tc>
      </w:tr>
      <w:tr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RAZEM (obszary ryzyka)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2 367 516</w:t>
            </w:r>
          </w:p>
        </w:tc>
        <w:tc>
          <w:tcPr>
            <w:tcW w:type="dxa" w:w="2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6,23%</w:t>
            </w:r>
          </w:p>
        </w:tc>
      </w:tr>
    </w:tbl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3.2. Pokrycie syrenami w strefach ryzyka — 81,1% / 18,9%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Z 2,37 mln mieszkańców obszarów ryzyka powodziowego sygnał syren dociera do 1,92 mln (81,1%). Pozostałe 447 593 osoby (18,9%) — co piąty mieszkaniec strefy ryzyka — pozostaje poza zasięgiem skutecznego ostrzeżenia. To jest mierzalna luka systemowa o najwyższym priorytecie zarządczym.</w:t>
      </w:r>
    </w:p>
    <w:p>
      <w:pPr>
        <w:spacing w:after="60" w:before="160"/>
        <w:jc w:val="center"/>
      </w:pPr>
      <w:r>
        <w:drawing>
          <wp:inline distT="0" distB="0" distL="0" distR="0">
            <wp:extent cx="5143500" cy="2762250"/>
            <wp:effectExtent t="0" r="0" b="0" l="0"/>
            <wp:docPr id="1" name="03_powodzie_pokrycie.png" descr="Wykres 4. Pokrycie ludności obszarów ryzyka powodziowego sygnałem syren ≥ 65 dB(A)." title="Wykres 4. Pokrycie ludności obszarów ryzyka powodziowego sygnałem syren ≥ 65 dB(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Wykres 4. Pokrycie ludności obszarów ryzyka powodziowego sygnałem syren ≥ 65 dB(A).</w:t>
      </w:r>
    </w:p>
    <w:p>
      <w:pPr>
        <w:spacing w:after="100" w:before="0" w:line="3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BF8F00" w:sz="12"/>
              <w:left w:val="single" w:color="BF8F00" w:sz="24"/>
              <w:bottom w:val="single" w:color="BF8F00" w:sz="12"/>
              <w:right w:val="single" w:color="BF8F00" w:sz="4"/>
            </w:tcBorders>
            <w:shd w:fill="FFF2CC" w:val="clear"/>
            <w:tcMar>
              <w:top w:type="dxa" w:w="160"/>
              <w:left w:type="dxa" w:w="220"/>
              <w:bottom w:type="dxa" w:w="160"/>
              <w:right w:type="dxa" w:w="18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BF8F00"/>
                <w:sz w:val="22"/>
                <w:szCs w:val="22"/>
              </w:rPr>
              <w:t xml:space="preserve">INTERPRETACJA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447 593 osoby zamieszkujące obszary ryzyka powodziowego nie zostaną ostrzeżone sygnałem syreny. Z tej grupy 226 250 osób mieszka w obszarach wysokiego ryzyka.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Awaria pojedynczego elementu systemu (wyłączenie energii, brak GSM, awaria stacji bazowej) oznacza dla nich pełną utratę kanału ostrzegania.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/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To jest priorytet absolutny dla planu inwestycyjnego — dotyczy ludzi, którzy najbardziej potrzebują ostrzeżenia w sytuacji realnego zagrożenia.</w:t>
            </w:r>
          </w:p>
        </w:tc>
      </w:tr>
    </w:tbl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3.3. Województwa z największym deficytem w strefach ryzyka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Liczbowo najwięcej osób bez ostrzeżenia w strefach ryzyka powodziowego mieszka w województwach: małopolskim (85 857 osób), mazowieckim (83 507) i dolnośląskim (68 307). Razem te trzy województwa odpowiadają za 53% krajowego deficytu w strefach ryzyka. Procentowo największy deficyt mają jednak: kujawsko-pomorskie (42% mieszkańców strefy ryzyka bez ostrzeżenia), warmińsko-mazurskie (40%) i podlaskie (39%).</w:t>
      </w:r>
    </w:p>
    <w:p>
      <w:pPr>
        <w:spacing w:after="60" w:before="160"/>
        <w:jc w:val="center"/>
      </w:pPr>
      <w:r>
        <w:drawing>
          <wp:inline distT="0" distB="0" distL="0" distR="0">
            <wp:extent cx="5143500" cy="5715000"/>
            <wp:effectExtent t="0" r="0" b="0" l="0"/>
            <wp:docPr id="1" name="MAPA_02_deficyt_wojewodztwa.jpg" descr="Mapa 6. Deficyt ostrzegania w strefach ryzyka powodziowego — % mieszkańców strefy ryzyka POZA zasięgiem ≥ 65 dB(A) wg województw." title="Mapa 6. Deficyt ostrzegania w strefach ryzyka powodziowego — % mieszkańców strefy ryzyka POZA zasięgiem ≥ 65 dB(A) wg województ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Mapa 6. Deficyt ostrzegania w strefach ryzyka powodziowego — % mieszkańców strefy ryzyka POZA zasięgiem ≥ 65 dB(A) wg województw.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3.4. Mapa podwójnego ryzyka — najmocniejsza pojedyncza grafika decyzyjna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Przecięcie trzech warunków — wysokie ryzyko powodziowe + brak zasięgu syren + duża populacja — wskazuje konkretne miejsca na mapie Polski wymagające bezwzględnego priorytetu inwestycyjnego. Z 6 036 luk w obszarach wysokiego ryzyka powodziowego wyodrębniono 302 hot zones (top 5% wg populacji). To są lokalizacje, w których brak ostrzeżenia w sytuacji powodzi oznacza dla tysięcy ludzi pełną utratę kanału alarmowania.</w:t>
      </w:r>
    </w:p>
    <w:p>
      <w:pPr>
        <w:spacing w:after="60" w:before="160"/>
        <w:jc w:val="center"/>
      </w:pPr>
      <w:r>
        <w:drawing>
          <wp:inline distT="0" distB="0" distL="0" distR="0">
            <wp:extent cx="5524500" cy="5143500"/>
            <wp:effectExtent t="0" r="0" b="0" l="0"/>
            <wp:docPr id="1" name="MAPA_09_podwojne_ryzyko.jpg" descr="Mapa 7. Podwójne ryzyko — etykiety na 8 największych hot zones. Każda kropka to obszar wymagający natychmiastowej decyzji inwestycyjnej." title="Mapa 7. Podwójne ryzyko — etykiety na 8 największych hot zones. Każda kropka to obszar wymagający natychmiastowej decyzji inwestycyj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Mapa 7. Podwójne ryzyko — etykiety na 8 największych hot zones. Każda kropka to obszar wymagający natychmiastowej decyzji inwestycyjnej.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3.5. Cztery województwa o najwyższym priorytecie — zoom regionalny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Dla wojewodów i komendantów wojewódzkich PSP czterech regionów najbardziej deficytowych — Kujawsko-Pomorskiego, Warmińsko-Mazurskiego, Dolnośląskiego i Małopolskiego — przygotowano mapy regionalne. Każdy panel pokazuje istniejące syreny (czarne kropki), pilne luki klasy A (czerwone) i luki klasy B (pomarańczowe) na tle granic powiatowych. Dolnośląskie ma najwięcej pilnych luk klasy A (80) — to bezpośredni efekt powodzi z 2024 r.</w:t>
      </w:r>
    </w:p>
    <w:p>
      <w:pPr>
        <w:spacing w:after="60" w:before="160"/>
        <w:jc w:val="center"/>
      </w:pPr>
      <w:r>
        <w:drawing>
          <wp:inline distT="0" distB="0" distL="0" distR="0">
            <wp:extent cx="5524500" cy="4762500"/>
            <wp:effectExtent t="0" r="0" b="0" l="0"/>
            <wp:docPr id="1" name="MAPA_13_zoomy_regionalne.jpg" descr="Mapa 8. Cztery województwa krytyczne — zoom regionalny z lukami klasy A i B na tle granic powiatów." title="Mapa 8. Cztery województwa krytyczne — zoom regionalny z lukami klasy A i B na tle granic powiat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Mapa 8. Cztery województwa krytyczne — zoom regionalny z lukami klasy A i B na tle granic powiatów.</w:t>
      </w:r>
    </w:p>
    <w:p>
      <w:pPr>
        <w:spacing w:after="100" w:before="0" w:line="320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Tabela 4. Deficyt ostrzegania w strefach ryzyka powodziowego — wszystkie województwa.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200"/>
        <w:gridCol w:w="2100"/>
        <w:gridCol w:w="1500"/>
        <w:gridCol w:w="1438"/>
      </w:tblGrid>
      <w:tr>
        <w:trPr>
          <w:tblHeader/>
        </w:trP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Województwo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 strefie ryzyka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 zasięgu ≥ 65 dB(A)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POZA zasięgiem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% poza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MAŁOPOLSKIE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436 381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350 523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85 858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19,7%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MAZOWIECKIE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637 285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553 778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83 508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13,1%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387 544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319 237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68 308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17,6%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PODKARPACKIE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272 099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215 563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56 536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20,8%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KUJAWSKO-POMORSKIE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62 568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36 440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26 128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41,8%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POMORSKIE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125 541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100 395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25 147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20,0%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OPOLSKIE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114 288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89 412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24 875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21,8%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ŚLĄSKIE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99 518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79 585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19 933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20,0%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LUBUSKIE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44 238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30 948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13 291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30,0%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ŚWIĘTOKRZYSKIE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44 915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31 884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13 031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29,0%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WIELKOPOLSKIE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44 095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35 144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8951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20,3%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LUBELSKIE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41 123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33 285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7838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19,1%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WARMIŃSKO-MAZURSKIE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14 275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8499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5776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40,5%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ŁÓDZKIE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19 973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16 098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3875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19,4%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ZACHODNIOPOMORSKIE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19 456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16 566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2890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14,9%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PODLASKIE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4216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2567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1649</w:t>
            </w:r>
          </w:p>
        </w:tc>
        <w:tc>
          <w:tcPr>
            <w:tcW w:type="dxa" w:w="14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39,1%</w:t>
            </w:r>
          </w:p>
        </w:tc>
      </w:tr>
    </w:tbl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3.4. Gminy z największym deficytem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Na poziomie gmin największe deficyty w obszarach wysokiego ryzyka powodziowego odnotowano w: Świdnicy (woj. dolnośląskie, 4 739 osób bez ostrzeżenia), Włocławku (4 442), Tryńczy (2 593) i Grodkowie (2 006). Pełen ranking 1 688 gmin zawiera załącznik tabelaryczny.</w:t>
      </w:r>
    </w:p>
    <w:p>
      <w:pPr>
        <w:spacing w:after="60" w:before="160"/>
        <w:jc w:val="center"/>
      </w:pPr>
      <w:r>
        <w:drawing>
          <wp:inline distT="0" distB="0" distL="0" distR="0">
            <wp:extent cx="5524500" cy="3048000"/>
            <wp:effectExtent t="0" r="0" b="0" l="0"/>
            <wp:docPr id="1" name="07_top_gminy_deficyt.png" descr="Wykres 5. TOP 10 gmin z największym deficytem w strefach ryzyka powodziowego." title="Wykres 5. TOP 10 gmin z największym deficytem w strefach ryzyka powodziow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Wykres 5. TOP 10 gmin z największym deficytem w strefach ryzyka powodziowego.</w:t>
      </w:r>
    </w:p>
    <w:p>
      <w:pPr>
        <w:spacing w:after="100" w:before="0" w:line="320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Tabela 5. TOP 20 gmin z największym deficytem ostrzegania na obszarach ryzyka powodziowego.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700"/>
        <w:gridCol w:w="1700"/>
        <w:gridCol w:w="2300"/>
        <w:gridCol w:w="1700"/>
        <w:gridCol w:w="1638"/>
      </w:tblGrid>
      <w:tr>
        <w:trPr>
          <w:tblHeader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Lp.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Gmina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Powiat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Województwo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Bez ostrzeżenia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% strefy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Świdnica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świdnicki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4739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95,2%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Włocławek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Włocławek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KUJAWSKO-POMORSKIE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4442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95,9%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Tryńcza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przeworski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PODKARPACKIE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2593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94,7%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Grodków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brzeski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OPOLSKIE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2006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99,0%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Obrowo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toruński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KUJAWSKO-POMORSKIE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956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100,0%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Legnickie Pole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legnicki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1172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92,3%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Przemyśl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przemyski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PODKARPACKIE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1771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91,5%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Lubań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lubański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884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99,9%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Puszczykowo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poznański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WIELKOPOLSKIE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781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100,0%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10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Chełmno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chełmiński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KUJAWSKO-POMORSKIE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1042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81,1%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11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Zławieś Wielka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toruński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KUJAWSKO-POMORSKIE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2885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88,7%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Chełmno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chełmiński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KUJAWSKO-POMORSKIE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2985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84,8%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13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Elbląg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elbląski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WARMIŃSKO-MAZURSKIE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2903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86,7%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14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Miękinia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średzki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2681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82,1%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15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Wisznia Mała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trzebnicki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571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99,9%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16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Krzeszyce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sulęciński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LUBUSKIE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988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93,0%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17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Alwernia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chrzanowski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MAŁOPOLSKIE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585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97,5%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18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Włocławek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włocławski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KUJAWSKO-POMORSKIE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645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99,1%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19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Tarnów Opolski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opolski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OPOLSKIE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569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91,7%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20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Gniewoszów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kozienicki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MAZOWIECKIE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1239</w:t>
            </w:r>
          </w:p>
        </w:tc>
        <w:tc>
          <w:tcPr>
            <w:tcW w:type="dxa" w:w="16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80,5%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1F4E79" w:sz="18" w:space="6"/>
        </w:pBdr>
        <w:spacing w:after="200" w:before="320"/>
      </w:pPr>
      <w:r>
        <w:rPr>
          <w:rFonts w:ascii="Calibri" w:cs="Calibri" w:eastAsia="Calibri" w:hAnsi="Calibri"/>
          <w:b/>
          <w:bCs/>
          <w:color w:val="1F4E79"/>
          <w:sz w:val="32"/>
          <w:szCs w:val="32"/>
        </w:rPr>
        <w:t xml:space="preserve">CZĘŚĆ IV — Obszary do doposażenia w syreny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Każda zidentyfikowana luka jest oceniana w 4-stopniowym łańcuchu decyzyjnym: integracja istniejącej syreny → modernizacja istniejącej syreny → nowa syrena → walidacja terenowa przed zakupem. Nie każdy brak ostrzeżenia wymaga zakupu — w wielu lokalizacjach problem leży w łączności lub sterowaniu, a nie w fizycznym braku urządzenia.</w:t>
      </w:r>
    </w:p>
    <w:p>
      <w:pPr>
        <w:spacing w:after="60" w:before="160"/>
        <w:jc w:val="center"/>
      </w:pPr>
      <w:r>
        <w:drawing>
          <wp:inline distT="0" distB="0" distL="0" distR="0">
            <wp:extent cx="5524500" cy="1905000"/>
            <wp:effectExtent t="0" r="0" b="0" l="0"/>
            <wp:docPr id="1" name="08_lancuch_decyzji.png" descr="Diagram 1. Czterostopniowy łańcuch decyzji inwestycyjnej dla każdej zidentyfikowanej luki." title="Diagram 1. Czterostopniowy łańcuch decyzji inwestycyjnej dla każdej zidentyfikowanej lu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Diagram 1. Czterostopniowy łańcuch decyzji inwestycyjnej dla każdej zidentyfikowanej luki.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4.0. Wizualizacja efektu wariantu PODSTAWOWEGO — porównanie PRZED i PO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Najprostszy sposób uzasadnienia inwestycji to pokazanie wizualnego efektu. Mapa porównawcza pokazuje stan obecny (lewy panel — wszystkie 13 050 luk z 241 pilnymi czerwonymi) oraz stan po wdrożeniu wariantu PODSTAWOWEGO (prawy panel — 451 luk klasy A zamkniętych zielonymi krzyżykami, klasa B i niższe pozostają do dalszych etapów). Inwestycja 97 mln zł zamyka pełen priorytet A — czyli obejmuje populację z 60% wszystkich luk (zgodnie z krzywą Pareto).</w:t>
      </w:r>
    </w:p>
    <w:p>
      <w:pPr>
        <w:spacing w:after="60" w:before="160"/>
        <w:jc w:val="center"/>
      </w:pPr>
      <w:r>
        <w:drawing>
          <wp:inline distT="0" distB="0" distL="0" distR="0">
            <wp:extent cx="5524500" cy="3048000"/>
            <wp:effectExtent t="0" r="0" b="0" l="0"/>
            <wp:docPr id="1" name="MAPA_10_przed_po.jpg" descr="Mapa 9. Efekt wariantu PODSTAWOWEGO — porównanie przed (czerwone luki) i po wdrożeniu (zielone krzyżyki = zamknięte). Wizualna obrona inwestycji." title="Mapa 9. Efekt wariantu PODSTAWOWEGO — porównanie przed (czerwone luki) i po wdrożeniu (zielone krzyżyki = zamknięte). Wizualna obrona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Mapa 9. Efekt wariantu PODSTAWOWEGO — porównanie przed (czerwone luki) i po wdrożeniu (zielone krzyżyki = zamknięte). Wizualna obrona inwestycji.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4.1. Ranking nowych lokalizacji w strefach ryzyka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Z modelu V13 wynika 2 501 kandydackich lokalizacji nowych syren, z czego 451 zakwalifikowano w kategorii nowa duża syrena w priorytecie A (najpilniejsze inwestycje). Dla każdej lokalizacji obliczono dodatkową populację objętą sygnałem ≥ 65 dB(A), klasę ryzyka i rekomendowaną klasę mocy.</w:t>
      </w:r>
    </w:p>
    <w:p>
      <w:pPr>
        <w:spacing w:after="100" w:before="0" w:line="320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Tabela 6. TOP 12 priorytetowych lokalizacji nowych syren w strefach ryzyka powodziowego (priorytet A).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500"/>
        <w:gridCol w:w="2200"/>
        <w:gridCol w:w="1700"/>
        <w:gridCol w:w="800"/>
        <w:gridCol w:w="1500"/>
        <w:gridCol w:w="1338"/>
      </w:tblGrid>
      <w:tr>
        <w:trPr>
          <w:tblHeader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Lp.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Gmina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Województwo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Klasa ryzyka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Moc rek.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Nowa pop. ≥65 dB</w:t>
            </w:r>
          </w:p>
        </w:tc>
        <w:tc>
          <w:tcPr>
            <w:tcW w:type="dxa" w:w="1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Koszt szac.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Włocławek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KUJAWSKO-POMORSKIE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wysokie ryzyko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1200 W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1 526</w:t>
            </w:r>
          </w:p>
        </w:tc>
        <w:tc>
          <w:tcPr>
            <w:tcW w:type="dxa" w:w="1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40 000 zł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Mosina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WIELKOPOLSKIE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wysokie ryzyko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600 W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129</w:t>
            </w:r>
          </w:p>
        </w:tc>
        <w:tc>
          <w:tcPr>
            <w:tcW w:type="dxa" w:w="1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40 000 zł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Włocławek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KUJAWSKO-POMORSKIE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wysokie ryzyko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600 W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105</w:t>
            </w:r>
          </w:p>
        </w:tc>
        <w:tc>
          <w:tcPr>
            <w:tcW w:type="dxa" w:w="1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40 000 zł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Świebodzice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wysokie ryzyko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600 W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115</w:t>
            </w:r>
          </w:p>
        </w:tc>
        <w:tc>
          <w:tcPr>
            <w:tcW w:type="dxa" w:w="1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40 000 zł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Karczew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MAZOWIECKIE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wysokie ryzyko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900 W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507</w:t>
            </w:r>
          </w:p>
        </w:tc>
        <w:tc>
          <w:tcPr>
            <w:tcW w:type="dxa" w:w="1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40 000 zł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Świdnica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wysokie ryzyko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1200 W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4 226</w:t>
            </w:r>
          </w:p>
        </w:tc>
        <w:tc>
          <w:tcPr>
            <w:tcW w:type="dxa" w:w="1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40 000 zł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Legnickie Pole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wysokie ryzyko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600 W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102</w:t>
            </w:r>
          </w:p>
        </w:tc>
        <w:tc>
          <w:tcPr>
            <w:tcW w:type="dxa" w:w="1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40 000 zł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Świdnica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wysokie ryzyko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900 W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312</w:t>
            </w:r>
          </w:p>
        </w:tc>
        <w:tc>
          <w:tcPr>
            <w:tcW w:type="dxa" w:w="1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40 000 zł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Włocławek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KUJAWSKO-POMORSKIE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wysokie ryzyko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900 W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912</w:t>
            </w:r>
          </w:p>
        </w:tc>
        <w:tc>
          <w:tcPr>
            <w:tcW w:type="dxa" w:w="1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40 000 zł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10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Włocławek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KUJAWSKO-POMORSKIE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wysokie ryzyko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1200 W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1 079</w:t>
            </w:r>
          </w:p>
        </w:tc>
        <w:tc>
          <w:tcPr>
            <w:tcW w:type="dxa" w:w="1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40 000 zł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11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Wisznia Mała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wysokie ryzyko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900 W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447</w:t>
            </w:r>
          </w:p>
        </w:tc>
        <w:tc>
          <w:tcPr>
            <w:tcW w:type="dxa" w:w="1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40 000 zł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Świdnica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wysokie ryzyko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300 W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78</w:t>
            </w:r>
          </w:p>
        </w:tc>
        <w:tc>
          <w:tcPr>
            <w:tcW w:type="dxa" w:w="1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wal. terenowa</w:t>
            </w:r>
          </w:p>
        </w:tc>
      </w:tr>
    </w:tbl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4.2. Modernizacja istniejących syren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Dla wielu lokalizacji wystarczająca jest modernizacja istniejącej infrastruktury — wymiana modułu komunikacyjnego, instalacja anten, dodanie podtrzymania bateryjnego. Koszt jest istotnie niższy od nowej syreny (5–10 tys. zł za lokalizację vs 40 tys. zł za nowe urządzenie). W wielu obszarach syrena fizycznie istnieje, ale nie ma niezawodnej łączności lub potwierdzeń.</w:t>
      </w:r>
    </w:p>
    <w:p>
      <w:pPr>
        <w:spacing w:after="120" w:before="0" w:line="320"/>
      </w:pPr>
      <w:r>
        <w:rPr>
          <w:rFonts w:ascii="Calibri" w:cs="Calibri" w:eastAsia="Calibri" w:hAnsi="Calibri"/>
          <w:sz w:val="22"/>
          <w:szCs w:val="22"/>
        </w:rPr>
        <w:t xml:space="preserve">Modernizacja powinna w pierwszej kolejności objąć: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syreny w 15 największych miastach wojewódzkich, które są krytyczne pod względem populacji (lista syren krytycznych w Tabeli 7);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syreny w obszarach wysokiego ryzyka powodziowego, gdzie istniejące urządzenie ma sprawne ramię akustyczne, ale brak monitorowanej łączności;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syreny w lokalizacjach z dobrym pokryciem terenu, ale starym sterowaniem analogowym — tu wymiana modułu kosztuje znacznie mniej niż nowa instalacja.</w:t>
      </w:r>
    </w:p>
    <w:p>
      <w:pPr>
        <w:pStyle w:val="Heading3"/>
        <w:spacing w:after="100" w:before="200"/>
      </w:pPr>
      <w:r>
        <w:rPr>
          <w:rFonts w:ascii="Calibri" w:cs="Calibri" w:eastAsia="Calibri" w:hAnsi="Calibri"/>
          <w:b/>
          <w:bCs/>
          <w:color w:val="595959"/>
          <w:sz w:val="22"/>
          <w:szCs w:val="22"/>
        </w:rPr>
        <w:t xml:space="preserve">Syreny krytyczne — najwyższe ryzyko utraty pokrycia</w:t>
      </w:r>
    </w:p>
    <w:p>
      <w:pPr>
        <w:spacing w:after="100" w:before="0" w:line="320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Tabela 7. TOP 15 syren krytycznych — najwyższe ryzyko utraty pokrycia po awarii pojedynczego urządzenia.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"/>
        <w:gridCol w:w="1700"/>
        <w:gridCol w:w="1300"/>
        <w:gridCol w:w="1700"/>
        <w:gridCol w:w="1100"/>
        <w:gridCol w:w="700"/>
        <w:gridCol w:w="700"/>
        <w:gridCol w:w="1888"/>
      </w:tblGrid>
      <w:tr>
        <w:trPr>
          <w:tblHeader/>
        </w:trPr>
        <w:tc>
          <w:tcPr>
            <w:tcW w:type="dxa" w:w="5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Lp.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Województwo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Miasto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Właściciel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Rodzaj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Moc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GSM</w:t>
            </w:r>
          </w:p>
        </w:tc>
        <w:tc>
          <w:tcPr>
            <w:tcW w:type="dxa" w:w="1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Pop. zagrożona</w:t>
            </w:r>
          </w:p>
        </w:tc>
      </w:tr>
      <w:tr>
        <w:tc>
          <w:tcPr>
            <w:tcW w:type="dxa" w:w="5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ŁÓDZKIE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Łódź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Prezydent Miasta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cyfrowa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1200 W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NIE</w:t>
            </w:r>
          </w:p>
        </w:tc>
        <w:tc>
          <w:tcPr>
            <w:tcW w:type="dxa" w:w="1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32 343</w:t>
            </w:r>
          </w:p>
        </w:tc>
      </w:tr>
      <w:tr>
        <w:tc>
          <w:tcPr>
            <w:tcW w:type="dxa" w:w="5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Wrocław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Prezydent Miasta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cyfrowa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1500 W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NIE</w:t>
            </w:r>
          </w:p>
        </w:tc>
        <w:tc>
          <w:tcPr>
            <w:tcW w:type="dxa" w:w="1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29 832</w:t>
            </w:r>
          </w:p>
        </w:tc>
      </w:tr>
      <w:tr>
        <w:tc>
          <w:tcPr>
            <w:tcW w:type="dxa" w:w="5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Wrocław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Prezydent Miasta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cyfrowa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1500 W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NIE</w:t>
            </w:r>
          </w:p>
        </w:tc>
        <w:tc>
          <w:tcPr>
            <w:tcW w:type="dxa" w:w="1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28 620</w:t>
            </w:r>
          </w:p>
        </w:tc>
      </w:tr>
      <w:tr>
        <w:tc>
          <w:tcPr>
            <w:tcW w:type="dxa" w:w="5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ŁÓDZKIE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Łódź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Prezydent Miasta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cyfrowa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1200 W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NIE</w:t>
            </w:r>
          </w:p>
        </w:tc>
        <w:tc>
          <w:tcPr>
            <w:tcW w:type="dxa" w:w="1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28 125</w:t>
            </w:r>
          </w:p>
        </w:tc>
      </w:tr>
      <w:tr>
        <w:tc>
          <w:tcPr>
            <w:tcW w:type="dxa" w:w="5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LUBELSKIE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Lublin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Wojewoda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analogowa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900 W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NIE</w:t>
            </w:r>
          </w:p>
        </w:tc>
        <w:tc>
          <w:tcPr>
            <w:tcW w:type="dxa" w:w="1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26 743</w:t>
            </w:r>
          </w:p>
        </w:tc>
      </w:tr>
      <w:tr>
        <w:tc>
          <w:tcPr>
            <w:tcW w:type="dxa" w:w="5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WIELKOPOLSKIE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Września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Burmistrz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analogowa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1200 W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NIE</w:t>
            </w:r>
          </w:p>
        </w:tc>
        <w:tc>
          <w:tcPr>
            <w:tcW w:type="dxa" w:w="1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26 344</w:t>
            </w:r>
          </w:p>
        </w:tc>
      </w:tr>
      <w:tr>
        <w:tc>
          <w:tcPr>
            <w:tcW w:type="dxa" w:w="5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ŁÓDZKIE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Łódź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Prezydent Miasta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cyfrowa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1200 W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NIE</w:t>
            </w:r>
          </w:p>
        </w:tc>
        <w:tc>
          <w:tcPr>
            <w:tcW w:type="dxa" w:w="1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26 300</w:t>
            </w:r>
          </w:p>
        </w:tc>
      </w:tr>
      <w:tr>
        <w:tc>
          <w:tcPr>
            <w:tcW w:type="dxa" w:w="5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KUJAWSKO-POMORSKIE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Bydgoszcz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Wojewoda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cyfrowa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2000 W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TAK</w:t>
            </w:r>
          </w:p>
        </w:tc>
        <w:tc>
          <w:tcPr>
            <w:tcW w:type="dxa" w:w="1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26 100</w:t>
            </w:r>
          </w:p>
        </w:tc>
      </w:tr>
      <w:tr>
        <w:tc>
          <w:tcPr>
            <w:tcW w:type="dxa" w:w="5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MAŁOPOLSKIE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Kraków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Wojewoda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analogowa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1200 W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NIE</w:t>
            </w:r>
          </w:p>
        </w:tc>
        <w:tc>
          <w:tcPr>
            <w:tcW w:type="dxa" w:w="1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25 501</w:t>
            </w:r>
          </w:p>
        </w:tc>
      </w:tr>
      <w:tr>
        <w:tc>
          <w:tcPr>
            <w:tcW w:type="dxa" w:w="5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10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Wrocław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Prezydent Miasta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cyfrowa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1500 W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NIE</w:t>
            </w:r>
          </w:p>
        </w:tc>
        <w:tc>
          <w:tcPr>
            <w:tcW w:type="dxa" w:w="1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24 892</w:t>
            </w:r>
          </w:p>
        </w:tc>
      </w:tr>
      <w:tr>
        <w:tc>
          <w:tcPr>
            <w:tcW w:type="dxa" w:w="5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11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ŁÓDZKIE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Łódź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Prezydent Miasta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cyfrowa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1200 W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NIE</w:t>
            </w:r>
          </w:p>
        </w:tc>
        <w:tc>
          <w:tcPr>
            <w:tcW w:type="dxa" w:w="1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24 808</w:t>
            </w:r>
          </w:p>
        </w:tc>
      </w:tr>
      <w:tr>
        <w:tc>
          <w:tcPr>
            <w:tcW w:type="dxa" w:w="5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Wrocław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Prezydent Miasta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cyfrowa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1500 W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NIE</w:t>
            </w:r>
          </w:p>
        </w:tc>
        <w:tc>
          <w:tcPr>
            <w:tcW w:type="dxa" w:w="1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24 647</w:t>
            </w:r>
          </w:p>
        </w:tc>
      </w:tr>
      <w:tr>
        <w:tc>
          <w:tcPr>
            <w:tcW w:type="dxa" w:w="5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13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Wrocław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Prezydent Miasta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cyfrowa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1500 W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NIE</w:t>
            </w:r>
          </w:p>
        </w:tc>
        <w:tc>
          <w:tcPr>
            <w:tcW w:type="dxa" w:w="1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24 589</w:t>
            </w:r>
          </w:p>
        </w:tc>
      </w:tr>
      <w:tr>
        <w:tc>
          <w:tcPr>
            <w:tcW w:type="dxa" w:w="5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14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ŁÓDZKIE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Łódź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Prezydent Miasta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cyfrowa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1200 W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NIE</w:t>
            </w:r>
          </w:p>
        </w:tc>
        <w:tc>
          <w:tcPr>
            <w:tcW w:type="dxa" w:w="1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23 750</w:t>
            </w:r>
          </w:p>
        </w:tc>
      </w:tr>
      <w:tr>
        <w:tc>
          <w:tcPr>
            <w:tcW w:type="dxa" w:w="5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15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DOLNOŚLĄSKIE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Wrocław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Prezydent Miasta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cyfrowa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1500 W</w:t>
            </w:r>
          </w:p>
        </w:tc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NIE</w:t>
            </w:r>
          </w:p>
        </w:tc>
        <w:tc>
          <w:tcPr>
            <w:tcW w:type="dxa" w:w="1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23 734</w:t>
            </w:r>
          </w:p>
        </w:tc>
      </w:tr>
    </w:tbl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4.3. Obiekty wrażliwe w obszarach luk klasy A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Z bazy OSM wyodrębniono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85 317 obiektów wrażliwych</w:t>
      </w:r>
      <w:r>
        <w:rPr>
          <w:rFonts w:ascii="Calibri" w:cs="Calibri" w:eastAsia="Calibri" w:hAnsi="Calibri"/>
          <w:sz w:val="22"/>
          <w:szCs w:val="22"/>
        </w:rPr>
        <w:t xml:space="preserve"> — szkoły, przedszkola, szpitale, DPS, urzędy, dworce. W buforze 1 km od pilnych luk klasy A znajduje się </w:t>
      </w:r>
      <w:r>
        <w:rPr>
          <w:rFonts w:ascii="Calibri" w:cs="Calibri" w:eastAsia="Calibri" w:hAnsi="Calibri"/>
          <w:b/>
          <w:bCs/>
          <w:color w:val="C00000"/>
          <w:sz w:val="22"/>
          <w:szCs w:val="22"/>
        </w:rPr>
        <w:t xml:space="preserve">1 106 takich obiektów</w:t>
      </w:r>
      <w:r>
        <w:rPr>
          <w:rFonts w:ascii="Calibri" w:cs="Calibri" w:eastAsia="Calibri" w:hAnsi="Calibri"/>
          <w:sz w:val="22"/>
          <w:szCs w:val="22"/>
        </w:rPr>
        <w:t xml:space="preserve">. To są miejsca, w których brak ostrzeżenia syrenowego ma podwyższoną wagę społeczną — bo dotyczy zorganizowanych grup ludności (uczniów, pacjentów, pensjonariuszy, podróżnych).</w:t>
      </w:r>
    </w:p>
    <w:p>
      <w:pPr>
        <w:spacing w:after="60" w:before="160"/>
        <w:jc w:val="center"/>
      </w:pPr>
      <w:r>
        <w:drawing>
          <wp:inline distT="0" distB="0" distL="0" distR="0">
            <wp:extent cx="5524500" cy="5143500"/>
            <wp:effectExtent t="0" r="0" b="0" l="0"/>
            <wp:docPr id="1" name="MAPA_12_obiekty_wrazliwe_w_lukach.jpg" descr="Mapa 10. Obiekty wrażliwe w lukach klasy A — szkoły, szpitale, DPS, urzędy w buforze 1 km od pilnych luk." title="Mapa 10. Obiekty wrażliwe w lukach klasy A — szkoły, szpitale, DPS, urzędy w buforze 1 km od pilnych lu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Mapa 10. Obiekty wrażliwe w lukach klasy A — szkoły, szpitale, DPS, urzędy w buforze 1 km od pilnych luk.</w:t>
      </w:r>
    </w:p>
    <w:p>
      <w:pPr>
        <w:spacing w:after="100" w:before="0" w:line="320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Tabela 8. TOP 14 gmin wg liczby obiektów wrażliwych znajdujących się w buforze 1 km od luk klasy 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4500"/>
        <w:gridCol w:w="4338"/>
      </w:tblGrid>
      <w:tr>
        <w:trPr>
          <w:tblHeader/>
        </w:trP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Lp.</w:t>
            </w:r>
          </w:p>
        </w:tc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Gmina</w:t>
            </w:r>
          </w:p>
        </w:tc>
        <w:tc>
          <w:tcPr>
            <w:tcW w:type="dxa" w:w="4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Liczba obiektów wrażliwych w lukach</w:t>
            </w:r>
          </w:p>
        </w:tc>
      </w:tr>
      <w:t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</w:t>
            </w:r>
          </w:p>
        </w:tc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Gdańsk</w:t>
            </w:r>
          </w:p>
        </w:tc>
        <w:tc>
          <w:tcPr>
            <w:tcW w:type="dxa" w:w="4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199</w:t>
            </w:r>
          </w:p>
        </w:tc>
      </w:tr>
      <w:t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</w:t>
            </w:r>
          </w:p>
        </w:tc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Włocławek</w:t>
            </w:r>
          </w:p>
        </w:tc>
        <w:tc>
          <w:tcPr>
            <w:tcW w:type="dxa" w:w="4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190</w:t>
            </w:r>
          </w:p>
        </w:tc>
      </w:tr>
      <w:t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</w:t>
            </w:r>
          </w:p>
        </w:tc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Wrocław</w:t>
            </w:r>
          </w:p>
        </w:tc>
        <w:tc>
          <w:tcPr>
            <w:tcW w:type="dxa" w:w="4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96</w:t>
            </w:r>
          </w:p>
        </w:tc>
      </w:tr>
      <w:t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</w:t>
            </w:r>
          </w:p>
        </w:tc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Nowy Dwór Mazowiecki</w:t>
            </w:r>
          </w:p>
        </w:tc>
        <w:tc>
          <w:tcPr>
            <w:tcW w:type="dxa" w:w="4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61</w:t>
            </w:r>
          </w:p>
        </w:tc>
      </w:tr>
      <w:t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</w:t>
            </w:r>
          </w:p>
        </w:tc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Kraków</w:t>
            </w:r>
          </w:p>
        </w:tc>
        <w:tc>
          <w:tcPr>
            <w:tcW w:type="dxa" w:w="4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54</w:t>
            </w:r>
          </w:p>
        </w:tc>
      </w:tr>
      <w:t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</w:t>
            </w:r>
          </w:p>
        </w:tc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Legionowo</w:t>
            </w:r>
          </w:p>
        </w:tc>
        <w:tc>
          <w:tcPr>
            <w:tcW w:type="dxa" w:w="4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37</w:t>
            </w:r>
          </w:p>
        </w:tc>
      </w:tr>
      <w:t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</w:t>
            </w:r>
          </w:p>
        </w:tc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Słubice</w:t>
            </w:r>
          </w:p>
        </w:tc>
        <w:tc>
          <w:tcPr>
            <w:tcW w:type="dxa" w:w="4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36</w:t>
            </w:r>
          </w:p>
        </w:tc>
      </w:tr>
      <w:t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</w:t>
            </w:r>
          </w:p>
        </w:tc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Chojnów</w:t>
            </w:r>
          </w:p>
        </w:tc>
        <w:tc>
          <w:tcPr>
            <w:tcW w:type="dxa" w:w="4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33</w:t>
            </w:r>
          </w:p>
        </w:tc>
      </w:tr>
      <w:t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</w:t>
            </w:r>
          </w:p>
        </w:tc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Zakopane</w:t>
            </w:r>
          </w:p>
        </w:tc>
        <w:tc>
          <w:tcPr>
            <w:tcW w:type="dxa" w:w="4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31</w:t>
            </w:r>
          </w:p>
        </w:tc>
      </w:tr>
      <w:t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10</w:t>
            </w:r>
          </w:p>
        </w:tc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Głogów</w:t>
            </w:r>
          </w:p>
        </w:tc>
        <w:tc>
          <w:tcPr>
            <w:tcW w:type="dxa" w:w="4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23</w:t>
            </w:r>
          </w:p>
        </w:tc>
      </w:tr>
      <w:t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11</w:t>
            </w:r>
          </w:p>
        </w:tc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Chełmno</w:t>
            </w:r>
          </w:p>
        </w:tc>
        <w:tc>
          <w:tcPr>
            <w:tcW w:type="dxa" w:w="4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21</w:t>
            </w:r>
          </w:p>
        </w:tc>
      </w:tr>
      <w:t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</w:t>
            </w:r>
          </w:p>
        </w:tc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Konstancin-Jeziorna</w:t>
            </w:r>
          </w:p>
        </w:tc>
        <w:tc>
          <w:tcPr>
            <w:tcW w:type="dxa" w:w="4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17</w:t>
            </w:r>
          </w:p>
        </w:tc>
      </w:tr>
      <w:t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13</w:t>
            </w:r>
          </w:p>
        </w:tc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Nieporęt</w:t>
            </w:r>
          </w:p>
        </w:tc>
        <w:tc>
          <w:tcPr>
            <w:tcW w:type="dxa" w:w="4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16</w:t>
            </w:r>
          </w:p>
        </w:tc>
      </w:tr>
      <w:t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14</w:t>
            </w:r>
          </w:p>
        </w:tc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Zławieś Wielka</w:t>
            </w:r>
          </w:p>
        </w:tc>
        <w:tc>
          <w:tcPr>
            <w:tcW w:type="dxa" w:w="4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14</w:t>
            </w:r>
          </w:p>
        </w:tc>
      </w:tr>
      <w:tr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15</w:t>
            </w:r>
          </w:p>
        </w:tc>
        <w:tc>
          <w:tcPr>
            <w:tcW w:type="dxa" w:w="4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pozostałe gminy</w:t>
            </w:r>
          </w:p>
        </w:tc>
        <w:tc>
          <w:tcPr>
            <w:tcW w:type="dxa" w:w="43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278</w:t>
            </w:r>
          </w:p>
        </w:tc>
      </w:tr>
    </w:tbl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4.4. Walidacja terenowa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Przed ostatecznym zakupem lub montażem nowej syreny dla lokalizacji w priorytecie A i B konieczna jest walidacja terenowa: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sprawdzenie możliwości montażu na obiekcie (zgody właścicielskie, parametry konstrukcji);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potwierdzenie zasilania i miejsca na podtrzymanie bateryjne;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test łączności GSM/APN oraz dostępność kanału zapasowego;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pomiar tła akustycznego i identyfikacja przeszkód terenowych;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odsłuch próbny dla reprezentatywnych punktów w obszarze oddziaływania.</w:t>
      </w:r>
    </w:p>
    <w:p>
      <w:pPr>
        <w:spacing w:after="120" w:before="0" w:line="320"/>
      </w:pPr>
      <w:r>
        <w:rPr>
          <w:rFonts w:ascii="Calibri" w:cs="Calibri" w:eastAsia="Calibri" w:hAnsi="Calibri"/>
          <w:sz w:val="22"/>
          <w:szCs w:val="22"/>
        </w:rPr>
        <w:t xml:space="preserve">Walidacja terenowa jest planowana dla 2 501 kandydackich lokalizacji — pełna lista w pliku candidate_site_validation_V13.csv.</w:t>
      </w:r>
    </w:p>
    <w:p>
      <w:r>
        <w:br w:type="page"/>
      </w:r>
    </w:p>
    <w:p>
      <w:pPr>
        <w:pStyle w:val="Heading1"/>
        <w:pBdr>
          <w:bottom w:val="single" w:color="1F4E79" w:sz="18" w:space="6"/>
        </w:pBdr>
        <w:spacing w:after="120" w:before="240"/>
      </w:pPr>
      <w:r>
        <w:rPr>
          <w:rFonts w:ascii="Calibri" w:hAnsi="Calibri" w:eastAsia="Calibri"/>
          <w:b/>
          <w:i w:val="0"/>
          <w:color w:val="1F4E79"/>
          <w:sz w:val="32"/>
        </w:rPr>
        <w:t>CZĘŚĆ V — Publiczny CAP, IoT Feed i kanały odpornościowe</w:t>
      </w:r>
    </w:p>
    <w:p>
      <w:pPr>
        <w:spacing w:after="120" w:before="0"/>
      </w:pPr>
      <w:r>
        <w:rPr>
          <w:rFonts w:ascii="Calibri" w:hAnsi="Calibri" w:eastAsia="Calibri"/>
          <w:b w:val="0"/>
          <w:i w:val="0"/>
          <w:sz w:val="21"/>
        </w:rPr>
        <w:t>Analiza projektu KGPSP/CAP_ALERT zmienia punkt ciężkości integracji centralnej. Rdzeniem nie powinien być od razu zamknięty system sterowania wszystkimi syrenami, lecz wspólny standard alertu i kontrolowany, podpisany widok wykonawczy dla urządzeń. PL-CAP, oparty o CAP 1.2, zapewnia jednolitą treść ostrzeżenia, a PL-CAP-DIST-IOT umożliwia sterownikom syren i tablic informacyjnych pobieranie komend wykonawczych bez mieszania semantyki alertu z routingiem kanałów.</w:t>
      </w:r>
    </w:p>
    <w:tbl>
      <w:tblPr>
        <w:tblW w:type="dxa" w:w="9241"/>
        <w:tblLayout w:type="fixed"/>
        <w:tblLook w:firstColumn="1" w:firstRow="1" w:lastColumn="0" w:lastRow="0" w:noHBand="0" w:noVBand="1" w:val="04A0"/>
        <w:tblBorders>
          <w:top w:val="single" w:sz="4" w:space="0" w:color="B7C7D6"/>
          <w:left w:val="single" w:sz="4" w:space="0" w:color="B7C7D6"/>
          <w:bottom w:val="single" w:sz="4" w:space="0" w:color="B7C7D6"/>
          <w:right w:val="single" w:sz="4" w:space="0" w:color="B7C7D6"/>
          <w:insideH w:val="single" w:sz="4" w:space="0" w:color="B7C7D6"/>
          <w:insideV w:val="single" w:sz="4" w:space="0" w:color="B7C7D6"/>
        </w:tblBorders>
      </w:tblPr>
      <w:tblGrid>
        <w:gridCol w:w="9241"/>
      </w:tblGrid>
      <w:tr>
        <w:tc>
          <w:tcPr>
            <w:tcW w:type="dxa" w:w="924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D9EAF7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/>
                <w:i w:val="0"/>
                <w:sz w:val="18"/>
              </w:rPr>
              <w:t>Zasada architektoniczna: CAP/PL-CAP opisuje alert dla ludności; PL-CAP-DIST wybiera kanały dystrybucji; IoT Feed jest tylko podpisanym, jednokierunkowym widokiem wykonawczym. Publikacja komendy w feedzie albo pobranie feedu przez sterownik nie jest dowodem fizycznego uruchomienia syreny.</w:t>
            </w:r>
          </w:p>
        </w:tc>
      </w:tr>
    </w:tbl>
    <w:p>
      <w:pPr>
        <w:pStyle w:val="Heading2"/>
        <w:spacing w:after="80" w:before="200"/>
      </w:pPr>
      <w:r>
        <w:rPr>
          <w:rFonts w:ascii="Calibri" w:hAnsi="Calibri" w:eastAsia="Calibri"/>
          <w:b/>
          <w:i w:val="0"/>
          <w:color w:val="1F4E79"/>
          <w:sz w:val="26"/>
        </w:rPr>
        <w:t>5.1. CAP/PL-CAP — publiczna warstwa alertów</w:t>
      </w:r>
    </w:p>
    <w:p>
      <w:pPr>
        <w:spacing w:after="120" w:before="0"/>
      </w:pPr>
      <w:r>
        <w:rPr>
          <w:rFonts w:ascii="Calibri" w:hAnsi="Calibri" w:eastAsia="Calibri"/>
          <w:b w:val="0"/>
          <w:i w:val="0"/>
          <w:sz w:val="21"/>
        </w:rPr>
        <w:t>Projekt CAP_ALERT stanowi punkt wejścia do profilu PL-CAP: publicznego, maszynowo-czytelnego formatu ostrzegania ludności, opartego o OASIS CAP 1.2. Repozytorium obejmuje profil PL-CAP, serwer demonstracyjny Next.js/PostgreSQL/Drizzle, publiczne API JSON i CAP XML, publiczny feed, kokpit operatora, walidację, audyt oraz IoT Feed MVP. Dla SOIA oznacza to, że kanały telefoniczne, aplikacyjne, WWW, medialne, tablice informacyjne i syreny mogą korzystać ze wspólnego opisu alertu.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Publiczne API dla ludności i aplikacji powinno udostępniać aktywne alerty, szczegóły alertu, CAP XML oraz publiczny feed.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Routing kanałów, retry, potwierdzenia, statusy dostarczenia i parametry wykonawcze nie powinny być dopisywane do publicznego CAP; należą do PL-CAP-DIST.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Dane obszaru muszą być spójne z TERYT/PRG, aby alert i komenda wykonawcza wskazywały właściwe województwo, powiat, gminę lub miejscowość.</w:t>
      </w:r>
    </w:p>
    <w:p>
      <w:pPr>
        <w:pStyle w:val="Heading2"/>
        <w:spacing w:after="80" w:before="200"/>
      </w:pPr>
      <w:r>
        <w:rPr>
          <w:rFonts w:ascii="Calibri" w:hAnsi="Calibri" w:eastAsia="Calibri"/>
          <w:b/>
          <w:i w:val="0"/>
          <w:color w:val="1F4E79"/>
          <w:sz w:val="26"/>
        </w:rPr>
        <w:t>5.2. ETAP I — publiczny feed i IoT Feed MVP</w:t>
      </w:r>
    </w:p>
    <w:p>
      <w:pPr>
        <w:spacing w:after="120" w:before="0"/>
      </w:pPr>
      <w:r>
        <w:rPr>
          <w:rFonts w:ascii="Calibri" w:hAnsi="Calibri" w:eastAsia="Calibri"/>
          <w:b w:val="0"/>
          <w:i w:val="0"/>
          <w:sz w:val="21"/>
        </w:rPr>
        <w:t>Pierwszym etapem jest uruchomienie publicznej warstwy alertów oraz podpisanego, odczytowego IoT Feed dla urządzeń, które dobrowolnie połączą się z serwerem CAP/PL-CAP. W tej fazie telefon, aplikacja, serwis WWW lub system zewnętrzny pobiera publiczny alert, natomiast sterownik syreny albo tablicy informacyjnej pobiera osobny feed wykonawczy. Sterownik wykonuje tylko komendy zgodne z jego klasą urządzenia, profilem, wersją słowników i przypisaniem TERYT.</w:t>
      </w:r>
    </w:p>
    <w:p>
      <w:pPr>
        <w:spacing w:after="60" w:before="80"/>
      </w:pPr>
      <w:r>
        <w:rPr>
          <w:rFonts w:ascii="Calibri" w:hAnsi="Calibri" w:eastAsia="Calibri"/>
          <w:b w:val="0"/>
          <w:i/>
          <w:color w:val="5A6673"/>
          <w:sz w:val="18"/>
        </w:rPr>
        <w:t>Tabela 9. Trzy etapy aktualizacji centralnej warstwy wzbudzania alertów.</w:t>
      </w:r>
    </w:p>
    <w:tbl>
      <w:tblPr>
        <w:tblW w:type="dxa" w:w="9241"/>
        <w:tblLayout w:type="fixed"/>
        <w:tblLook w:firstColumn="1" w:firstRow="1" w:lastColumn="0" w:lastRow="0" w:noHBand="0" w:noVBand="1" w:val="04A0"/>
        <w:tblBorders>
          <w:top w:val="single" w:sz="4" w:space="0" w:color="B7C7D6"/>
          <w:left w:val="single" w:sz="4" w:space="0" w:color="B7C7D6"/>
          <w:bottom w:val="single" w:sz="4" w:space="0" w:color="B7C7D6"/>
          <w:right w:val="single" w:sz="4" w:space="0" w:color="B7C7D6"/>
          <w:insideH w:val="single" w:sz="4" w:space="0" w:color="B7C7D6"/>
          <w:insideV w:val="single" w:sz="4" w:space="0" w:color="B7C7D6"/>
        </w:tblBorders>
      </w:tblPr>
      <w:tblGrid>
        <w:gridCol w:w="2310"/>
        <w:gridCol w:w="2310"/>
        <w:gridCol w:w="2310"/>
        <w:gridCol w:w="2310"/>
      </w:tblGrid>
      <w:tr>
        <w:tc>
          <w:tcPr>
            <w:tcW w:type="dxa" w:w="90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1F4E79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Etap</w:t>
            </w:r>
          </w:p>
        </w:tc>
        <w:tc>
          <w:tcPr>
            <w:tcW w:type="dxa" w:w="277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1F4E79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Zakres</w:t>
            </w:r>
          </w:p>
        </w:tc>
        <w:tc>
          <w:tcPr>
            <w:tcW w:type="dxa" w:w="294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1F4E79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Mechanizm</w:t>
            </w:r>
          </w:p>
        </w:tc>
        <w:tc>
          <w:tcPr>
            <w:tcW w:type="dxa" w:w="260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1F4E79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Warunek / ograniczenie</w:t>
            </w:r>
          </w:p>
        </w:tc>
      </w:tr>
      <w:tr>
        <w:tc>
          <w:tcPr>
            <w:tcW w:type="dxa" w:w="90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I</w:t>
            </w:r>
          </w:p>
        </w:tc>
        <w:tc>
          <w:tcPr>
            <w:tcW w:type="dxa" w:w="277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Publiczny CAP/feed i dobrowolny IoT Feed MVP dla syren, tablic oraz innych urządzeń wykonawczych.</w:t>
            </w:r>
          </w:p>
        </w:tc>
        <w:tc>
          <w:tcPr>
            <w:tcW w:type="dxa" w:w="294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Publiczne alerty dla ludzi; /api/v1/iot/feed, /profile, /dictionaries i public-key dla sterowników.</w:t>
            </w:r>
          </w:p>
        </w:tc>
        <w:tc>
          <w:tcPr>
            <w:tcW w:type="dxa" w:w="260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Brak ACK/telemetrii; opt-in operatora; podpis Ed25519; zgodność TERYT i wersji profilu.</w:t>
            </w:r>
          </w:p>
        </w:tc>
      </w:tr>
      <w:tr>
        <w:tc>
          <w:tcPr>
            <w:tcW w:type="dxa" w:w="90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II</w:t>
            </w:r>
          </w:p>
        </w:tc>
        <w:tc>
          <w:tcPr>
            <w:tcW w:type="dxa" w:w="277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Przejście urządzeń priorytetowych do zarządzanego kanału KG PSP.</w:t>
            </w:r>
          </w:p>
        </w:tc>
        <w:tc>
          <w:tcPr>
            <w:tcW w:type="dxa" w:w="294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SIM w APN operatora KG PSP, prywatna transmisja GSM/DMR, centralna polityka konfiguracji.</w:t>
            </w:r>
          </w:p>
        </w:tc>
        <w:tc>
          <w:tcPr>
            <w:tcW w:type="dxa" w:w="260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Wymaga rejestru urządzeń, procedury wydawania SIM i osobnej decyzji dla kanału zwrotnego.</w:t>
            </w:r>
          </w:p>
        </w:tc>
      </w:tr>
      <w:tr>
        <w:tc>
          <w:tcPr>
            <w:tcW w:type="dxa" w:w="90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III</w:t>
            </w:r>
          </w:p>
        </w:tc>
        <w:tc>
          <w:tcPr>
            <w:tcW w:type="dxa" w:w="277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Dywersyfikacja dla urządzeń krytycznych i obszarów wysokiego ryzyka.</w:t>
            </w:r>
          </w:p>
        </w:tc>
        <w:tc>
          <w:tcPr>
            <w:tcW w:type="dxa" w:w="294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LoRa i TETRA jako kanały zapasowe lub alternatywne wobec IP/GSM.</w:t>
            </w:r>
          </w:p>
        </w:tc>
        <w:tc>
          <w:tcPr>
            <w:tcW w:type="dxa" w:w="260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Stosować selektywnie: centra miast, obszary powodziowe, infrastruktura krytyczna i miejsca bez odpornej łączności.</w:t>
            </w:r>
          </w:p>
        </w:tc>
      </w:tr>
    </w:tbl>
    <w:p>
      <w:pPr>
        <w:pStyle w:val="Heading2"/>
        <w:spacing w:after="80" w:before="200"/>
      </w:pPr>
      <w:r>
        <w:rPr>
          <w:rFonts w:ascii="Calibri" w:hAnsi="Calibri" w:eastAsia="Calibri"/>
          <w:b/>
          <w:i w:val="0"/>
          <w:color w:val="1F4E79"/>
          <w:sz w:val="26"/>
        </w:rPr>
        <w:t>5.3. Kontrakt IoT Feed — bezpieczeństwo i TERYT</w:t>
      </w:r>
    </w:p>
    <w:p>
      <w:pPr>
        <w:spacing w:after="120" w:before="0"/>
      </w:pPr>
      <w:r>
        <w:rPr>
          <w:rFonts w:ascii="Calibri" w:hAnsi="Calibri" w:eastAsia="Calibri"/>
          <w:b w:val="0"/>
          <w:i w:val="0"/>
          <w:sz w:val="21"/>
        </w:rPr>
        <w:t>IoT Feed w CAP_ALERT jest osobnym kontraktem technicznym dla sterowników. Minimalny zestaw endpointów obejmuje GET /api/v1/iot/feed, GET /api/v1/iot/profile, GET /api/v1/iot/dictionaries, GET /api/v1/iot/public-key oraz GET /api/v1/iot/public-key.pem. Koperta feedu zawiera m.in. activeCommands, eventWindow, sequence, feedExpiresAt i signature. Sterownik musi zweryfikować podpis Ed25519, kid, środowisko, profileVersion, dictionaryVersion, świeżość feedExpiresAt, monotoniczność sequence oraz unikalność iotCommandId.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Syrena nie uruchamia się automatycznie od każdego alertu P1; wymagany jest świadomy wybór operatora, tj. sirenRequested.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Sygnały MVP dla SIREN_CONTROLLER to SIREN_ALARM_MODULATED_3M oraz SIREN_CANCEL_PENDING.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Adresowanie do gminy powinno używać PL-TERYT:TERC-GMI; urządzenie uruchamia się tylko wtedy, gdy jego przypisany obszar pasuje do geokodów komendy.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MVP nie definiuje endpointów POST dla ACK, telemetrii, statusu urządzenia ani dowodu wykonania alarmowania.</w:t>
      </w:r>
    </w:p>
    <w:p>
      <w:pPr>
        <w:spacing w:after="60" w:before="80"/>
      </w:pPr>
      <w:r>
        <w:rPr>
          <w:rFonts w:ascii="Calibri" w:hAnsi="Calibri" w:eastAsia="Calibri"/>
          <w:b w:val="0"/>
          <w:i/>
          <w:color w:val="5A6673"/>
          <w:sz w:val="18"/>
        </w:rPr>
        <w:t>Tabela 10. Ryzyka i bramki kontrolne dla publicznego CAP/IoT Feed.</w:t>
      </w:r>
    </w:p>
    <w:tbl>
      <w:tblPr>
        <w:tblW w:type="dxa" w:w="9241"/>
        <w:tblLayout w:type="fixed"/>
        <w:tblLook w:firstColumn="1" w:firstRow="1" w:lastColumn="0" w:lastRow="0" w:noHBand="0" w:noVBand="1" w:val="04A0"/>
        <w:tblBorders>
          <w:top w:val="single" w:sz="4" w:space="0" w:color="B7C7D6"/>
          <w:left w:val="single" w:sz="4" w:space="0" w:color="B7C7D6"/>
          <w:bottom w:val="single" w:sz="4" w:space="0" w:color="B7C7D6"/>
          <w:right w:val="single" w:sz="4" w:space="0" w:color="B7C7D6"/>
          <w:insideH w:val="single" w:sz="4" w:space="0" w:color="B7C7D6"/>
          <w:insideV w:val="single" w:sz="4" w:space="0" w:color="B7C7D6"/>
        </w:tblBorders>
      </w:tblPr>
      <w:tblGrid>
        <w:gridCol w:w="3080"/>
        <w:gridCol w:w="3080"/>
        <w:gridCol w:w="3080"/>
      </w:tblGrid>
      <w:tr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1F4E79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Ryzyko</w:t>
            </w:r>
          </w:p>
        </w:tc>
        <w:tc>
          <w:tcPr>
            <w:tcW w:type="dxa" w:w="328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1F4E79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Znaczenie dla SOIA</w:t>
            </w:r>
          </w:p>
        </w:tc>
        <w:tc>
          <w:tcPr>
            <w:tcW w:type="dxa" w:w="4025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1F4E79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Minimalna bramka kontrolna</w:t>
            </w:r>
          </w:p>
        </w:tc>
      </w:tr>
      <w:tr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Brak dowodu wykonania</w:t>
            </w:r>
          </w:p>
        </w:tc>
        <w:tc>
          <w:tcPr>
            <w:tcW w:type="dxa" w:w="328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HTTP 200, pobranie feedu albo obecność komendy nie potwierdzają fizycznego uruchomienia syreny.</w:t>
            </w:r>
          </w:p>
        </w:tc>
        <w:tc>
          <w:tcPr>
            <w:tcW w:type="dxa" w:w="4025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W UI i raportach nie używać statusu „wykonano” bez osobnego kanału potwierdzeń; ACK/telemetria tylko po nowym ADR/OpenAPI.</w:t>
            </w:r>
          </w:p>
        </w:tc>
      </w:tr>
      <w:tr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Różna jakość sterowników</w:t>
            </w:r>
          </w:p>
        </w:tc>
        <w:tc>
          <w:tcPr>
            <w:tcW w:type="dxa" w:w="328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Część urządzeń może nie obsługiwać podpisów, cache, sekwencji, okien czasu albo słowników.</w:t>
            </w:r>
          </w:p>
        </w:tc>
        <w:tc>
          <w:tcPr>
            <w:tcW w:type="dxa" w:w="4025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Certyfikacja zgodności producenta: podpis, ETag/304/429, feedExpiresAt, sequence, iotCommandId, profile/dictionary version.</w:t>
            </w:r>
          </w:p>
        </w:tc>
      </w:tr>
      <w:tr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Zależność od internetu i operatorów</w:t>
            </w:r>
          </w:p>
        </w:tc>
        <w:tc>
          <w:tcPr>
            <w:tcW w:type="dxa" w:w="328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Publiczny feed i komercyjny GSM mogą być niedostępne podczas awarii lub przeciążenia.</w:t>
            </w:r>
          </w:p>
        </w:tc>
        <w:tc>
          <w:tcPr>
            <w:tcW w:type="dxa" w:w="4025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Etap II przez APN KG PSP oraz Etap III przez LoRa/TETRA dla urządzeń priorytetowych.</w:t>
            </w:r>
          </w:p>
        </w:tc>
      </w:tr>
      <w:tr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Błędne mapowanie TERYT</w:t>
            </w:r>
          </w:p>
        </w:tc>
        <w:tc>
          <w:tcPr>
            <w:tcW w:type="dxa" w:w="328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Niewłaściwa gmina lub miejscowość może spowodować brak alarmu albo alarm poza obszarem zdarzenia.</w:t>
            </w:r>
          </w:p>
        </w:tc>
        <w:tc>
          <w:tcPr>
            <w:tcW w:type="dxa" w:w="4025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6F8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Rejestr przypisań TERYT sterownika, walidacja TERC-GMI/SIMC i testy scenariuszy powiat/gmina/miejscowość.</w:t>
            </w:r>
          </w:p>
        </w:tc>
      </w:tr>
      <w:tr>
        <w:tc>
          <w:tcPr>
            <w:tcW w:type="dxa" w:w="192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Rotacja kluczy i wersji</w:t>
            </w:r>
          </w:p>
        </w:tc>
        <w:tc>
          <w:tcPr>
            <w:tcW w:type="dxa" w:w="328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Zmiana kid, profilu lub słownika może zablokować urządzenia bez aktualnej konfiguracji zaufania.</w:t>
            </w:r>
          </w:p>
        </w:tc>
        <w:tc>
          <w:tcPr>
            <w:tcW w:type="dxa" w:w="4025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spacing w:after="0" w:before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5"/>
              </w:rPr>
              <w:t>Procedura rotacji z kluczem current/previous, lista akceptowanych wersji i testy rollback.</w:t>
            </w:r>
          </w:p>
        </w:tc>
      </w:tr>
    </w:tbl>
    <w:p>
      <w:pPr>
        <w:pStyle w:val="Heading2"/>
        <w:spacing w:after="80" w:before="200"/>
      </w:pPr>
      <w:r>
        <w:rPr>
          <w:rFonts w:ascii="Calibri" w:hAnsi="Calibri" w:eastAsia="Calibri"/>
          <w:b/>
          <w:i w:val="0"/>
          <w:color w:val="1F4E79"/>
          <w:sz w:val="26"/>
        </w:rPr>
        <w:t>5.4. ETAP II — prywatny APN KG PSP</w:t>
      </w:r>
    </w:p>
    <w:p>
      <w:pPr>
        <w:spacing w:after="120" w:before="0"/>
      </w:pPr>
      <w:r>
        <w:rPr>
          <w:rFonts w:ascii="Calibri" w:hAnsi="Calibri" w:eastAsia="Calibri"/>
          <w:b w:val="0"/>
          <w:i w:val="0"/>
          <w:sz w:val="21"/>
        </w:rPr>
        <w:t>Drugi etap obejmuje urządzenia priorytetowe, które powinny działać w zarządzanej domenie KG PSP. W praktyce oznacza to przekazanie kart SIM do APN operatora KG PSP, uporządkowanie identyfikatorów urządzeń, centralną politykę konfiguracji i kontrolowany kanał transmisji GSM/DMR. CAP/PL-CAP nadal pozostaje źródłem semantyki alertu, natomiast APN wzmacnia warstwę transportową, nadzór i bezpieczeństwo urządzeń włączonych do programu.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Zakres Etapu II powinien zaczynać się od gmin i obiektów o najwyższym ryzyku oraz największej liczbie osób poza zasięgiem ostrzegania.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Rejestr urządzeń musi wiązać numer SIM, identyfikator sterownika, klasę urządzenia, TERYT, właściciela i status certyfikacji.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Kanał zwrotny, jeśli będzie wymagany, powinien zostać opisany jako osobny kontrakt, a nie dopisany ad hoc do publicznego IoT Feed.</w:t>
      </w:r>
    </w:p>
    <w:p>
      <w:pPr>
        <w:pStyle w:val="Heading2"/>
        <w:spacing w:after="80" w:before="200"/>
      </w:pPr>
      <w:r>
        <w:rPr>
          <w:rFonts w:ascii="Calibri" w:hAnsi="Calibri" w:eastAsia="Calibri"/>
          <w:b/>
          <w:i w:val="0"/>
          <w:color w:val="1F4E79"/>
          <w:sz w:val="26"/>
        </w:rPr>
        <w:t>5.5. ETAP III — LoRa/TETRA dla urządzeń krytycznych</w:t>
      </w:r>
    </w:p>
    <w:p>
      <w:pPr>
        <w:spacing w:after="120" w:before="0"/>
      </w:pPr>
      <w:r>
        <w:rPr>
          <w:rFonts w:ascii="Calibri" w:hAnsi="Calibri" w:eastAsia="Calibri"/>
          <w:b w:val="0"/>
          <w:i w:val="0"/>
          <w:sz w:val="21"/>
        </w:rPr>
        <w:t>Trzeci etap nie powinien obejmować wszystkich syren w kraju jedną technologią. Jego celem jest odporność wybranych urządzeń: tam, gdzie awaria GSM/IP miałaby największe skutki, należy dodać modemy LoRa oraz TETRA jako kanały zapasowe lub alternatywne. LoRa może obsługiwać proste, lokalne komendy o małej przepływności, a TETRA powinna zostać użyta dla węzłów bezpieczeństwa publicznego, centrów miast, obszarów powodziowych i infrastruktury krytycznej.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Dobór urządzeń do LoRa/TETRA powinien wynikać z rankingu ryzyka: populacja poza zasięgiem, ryzyko powodziowe, rola obiektu i awaryjność łączności.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Kanał zapasowy nie zastępuje CAP/PL-CAP; przenosi jedynie uzgodnioną decyzję wykonawczą do sterownika.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Każdy kanał redundantny musi przejść test zgodności: poprawny obszar TERYT, brak powtórzeń komendy, obsługa cancel i zachowanie po utracie czasu/klucza.</w:t>
      </w:r>
    </w:p>
    <w:p>
      <w:pPr>
        <w:pStyle w:val="Heading2"/>
        <w:spacing w:after="80" w:before="200"/>
      </w:pPr>
      <w:r>
        <w:rPr>
          <w:rFonts w:ascii="Calibri" w:hAnsi="Calibri" w:eastAsia="Calibri"/>
          <w:b/>
          <w:i w:val="0"/>
          <w:color w:val="1F4E79"/>
          <w:sz w:val="26"/>
        </w:rPr>
        <w:t>5.6. Rekomendacje decyzyjne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Utrzymać IoT Feed jako jednokierunkowy MVP do czasu formalnej decyzji o ACK, telemetrii i statusie urządzeń.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Nie komunikować w systemach publicznych „syrena uruchomiona” na podstawie samego feedu; można potwierdzać tylko publikację i ważność komendy.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Zatwierdzić test zgodności producentów sterowników: Ed25519, kid, ETag, sequence, feedExpiresAt, profileVersion, dictionaryVersion i TERYT.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Rozpocząć Etap II od urządzeń priorytetowych wskazanych przez analizę luk i ryzyka, a nie od równomiernego zakupu dla wszystkich gmin.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hAnsi="Calibri" w:eastAsia="Calibri"/>
          <w:b w:val="0"/>
          <w:i w:val="0"/>
          <w:sz w:val="20"/>
        </w:rPr>
        <w:t>LoRa/TETRA wdrażać selektywnie, jako element odporności narodowej i regionalnej, po wyborze urządzeń krytycznych dla bezpieczeństwa ludności.</w:t>
      </w:r>
    </w:p>
    <w:p>
      <w:pPr>
        <w:pStyle w:val="Heading1"/>
        <w:pBdr>
          <w:bottom w:val="single" w:color="1F4E79" w:sz="18" w:space="6"/>
        </w:pBdr>
        <w:spacing w:after="200" w:before="320"/>
      </w:pPr>
      <w:r>
        <w:rPr>
          <w:rFonts w:ascii="Calibri" w:cs="Calibri" w:eastAsia="Calibri" w:hAnsi="Calibri"/>
          <w:b/>
          <w:bCs/>
          <w:color w:val="1F4E79"/>
          <w:sz w:val="32"/>
          <w:szCs w:val="32"/>
        </w:rPr>
        <w:t xml:space="preserve">CZĘŚĆ VI — Warianty budżetowe i decyzje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>Na podstawie inwentaryzacji V9, ocenionych luk V12 i kosztów jednostkowych zbudowano cztery realistyczne warianty inwestycyjne dla działań terenowych. Do każdego wariantu należy doliczyć osobno koszt warstwy integracyjnej: publiczny CAP/IoT Feed, APN KG PSP dla urządzeń priorytetowych oraz kanały LoRa/TETRA dla urządzeń krytycznych.</w:t>
      </w:r>
    </w:p>
    <w:p>
      <w:pPr>
        <w:spacing w:after="60" w:before="160"/>
        <w:jc w:val="center"/>
      </w:pPr>
      <w:r>
        <w:drawing>
          <wp:inline distT="0" distB="0" distL="0" distR="0">
            <wp:extent cx="5524500" cy="2762250"/>
            <wp:effectExtent t="0" r="0" b="0" l="0"/>
            <wp:docPr id="1" name="05_warianty_budzet.png" descr="Wykres 10. Cztery warianty budżetowe modernizacji systemu — koszty części syrenowej (bez ETAPU II/TETRA)." title="Wykres 10. Cztery warianty budżetowe modernizacji systemu — koszty części syrenowej (bez ETAPU II/TETR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>Wykres 10. Cztery warianty budżetowe modernizacji systemu — koszty części syrenowej (bez pełnych kosztów APN KG PSP, LoRa/TETRA i produkcyjnej warstwy IoT Feed).</w:t>
      </w:r>
    </w:p>
    <w:p>
      <w:pPr>
        <w:pStyle w:val="Heading3"/>
        <w:spacing w:after="100" w:before="200"/>
      </w:pPr>
      <w:r>
        <w:rPr>
          <w:rFonts w:ascii="Calibri" w:cs="Calibri" w:eastAsia="Calibri" w:hAnsi="Calibri"/>
          <w:b/>
          <w:bCs/>
          <w:color w:val="595959"/>
          <w:sz w:val="22"/>
          <w:szCs w:val="22"/>
        </w:rPr>
        <w:t xml:space="preserve">Warianty na płaszczyźnie koszt × liczba nowych syren</w:t>
      </w:r>
    </w:p>
    <w:p>
      <w:pPr>
        <w:spacing w:after="140" w:line="320"/>
      </w:pPr>
      <w:r>
        <w:rPr>
          <w:rFonts w:ascii="Calibri" w:cs="Calibri" w:eastAsia="Calibri" w:hAnsi="Calibri"/>
          <w:sz w:val="22"/>
          <w:szCs w:val="22"/>
        </w:rPr>
        <w:t xml:space="preserve">Bubble chart pokazuje warianty na dwóch wymiarach jednocześnie — kosztu i liczby nowych syren do zakupu. Wariant DOCELOWY (632 mln zł, 13 050 nowych syren) jest niewspółmierny do efektu populacyjnego — zgodnie z krzywą Pareto większość populacji bez ostrzeżenia jest pokryta już przez wariant podstawowy lub optymalny.</w:t>
      </w:r>
    </w:p>
    <w:p>
      <w:pPr>
        <w:spacing w:after="60" w:before="160"/>
        <w:jc w:val="center"/>
      </w:pPr>
      <w:r>
        <w:drawing>
          <wp:inline distT="0" distB="0" distL="0" distR="0">
            <wp:extent cx="5143500" cy="3048000"/>
            <wp:effectExtent t="0" r="0" b="0" l="0"/>
            <wp:docPr id="1" name="W16_bubble_warianty.png" descr="Wykres 11. Bubble chart wariantów budżetowych — koszt vs liczba nowych syren. Wielkość kropki proporcjonalna do kosztu." title="Wykres 11. Bubble chart wariantów budżetowych — koszt vs liczba nowych syren. Wielkość kropki proporcjonalna do koszt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Wykres 11. Bubble chart wariantów budżetowych — koszt vs liczba nowych syren. Wielkość kropki proporcjonalna do kosztu.</w:t>
      </w:r>
    </w:p>
    <w:p>
      <w:pPr>
        <w:spacing w:after="100" w:before="0" w:line="320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>Tabela 11. Warianty budżetowe — koszt syren plus wydzielona warstwa integracji CAP/IoT/APN.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700"/>
        <w:gridCol w:w="1300"/>
        <w:gridCol w:w="1300"/>
        <w:gridCol w:w="1300"/>
        <w:gridCol w:w="1538"/>
      </w:tblGrid>
      <w:tr>
        <w:trPr>
          <w:tblHeader/>
        </w:trP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Wariant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Zakres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Liczba pozycji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Koszt syren (mln zł)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i w:val="0"/>
                <w:color w:val="FFFFFF"/>
                <w:sz w:val="15"/>
              </w:rPr>
              <w:t>+ warstwa integracyjna</w:t>
            </w:r>
          </w:p>
        </w:tc>
        <w:tc>
          <w:tcPr>
            <w:tcW w:type="dxa" w:w="15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RAZEM</w:t>
            </w:r>
          </w:p>
        </w:tc>
      </w:tr>
      <w:t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Minimalny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CAP/IoT Feed + integracja syren bez GSM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15 909 syren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79,5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ok. 50–100</w:t>
            </w:r>
          </w:p>
        </w:tc>
        <w:tc>
          <w:tcPr>
            <w:tcW w:type="dxa" w:w="15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129,5–179,5</w:t>
            </w:r>
          </w:p>
        </w:tc>
      </w:tr>
      <w:t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Podstawowy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CAP/IoT Feed + APN priorytetowy + nowe syreny w lukach A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16 360 pozycji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97,6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ok. 50–100</w:t>
            </w:r>
          </w:p>
        </w:tc>
        <w:tc>
          <w:tcPr>
            <w:tcW w:type="dxa" w:w="15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147,6–197,6</w:t>
            </w:r>
          </w:p>
        </w:tc>
      </w:tr>
      <w:t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Optymalny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CAP/IoT Feed + APN szerszy + nowe syreny w lukach A i B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22 483 pozycje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128,2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ok. 80–120</w:t>
            </w:r>
          </w:p>
        </w:tc>
        <w:tc>
          <w:tcPr>
            <w:tcW w:type="dxa" w:w="15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208,2–248,2</w:t>
            </w:r>
          </w:p>
        </w:tc>
      </w:tr>
      <w:t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Docelowy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Pełny CAP/IoT/APN + LoRa/TETRA + wszystkie 13 050 luk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35 082 pozycje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632,2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ok. 100–150</w:t>
            </w:r>
          </w:p>
        </w:tc>
        <w:tc>
          <w:tcPr>
            <w:tcW w:type="dxa" w:w="15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732,2–782,2</w:t>
            </w:r>
          </w:p>
        </w:tc>
      </w:tr>
    </w:tbl>
    <w:p>
      <w:pPr>
        <w:spacing w:after="200" w:before="0" w:line="3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548235" w:sz="12"/>
              <w:left w:val="single" w:color="548235" w:sz="24"/>
              <w:bottom w:val="single" w:color="548235" w:sz="12"/>
              <w:right w:val="single" w:color="548235" w:sz="4"/>
            </w:tcBorders>
            <w:shd w:fill="E2EFDA" w:val="clear"/>
            <w:tcMar>
              <w:top w:type="dxa" w:w="160"/>
              <w:left w:type="dxa" w:w="220"/>
              <w:bottom w:type="dxa" w:w="160"/>
              <w:right w:type="dxa" w:w="180"/>
            </w:tcMar>
          </w:tcPr>
          <w:p>
            <w:pPr>
              <w:spacing w:after="0" w:before="0"/>
            </w:pPr>
            <w:r>
              <w:rPr>
                <w:rFonts w:ascii="Calibri" w:hAnsi="Calibri" w:eastAsia="Calibri"/>
                <w:b w:val="0"/>
                <w:i w:val="0"/>
                <w:sz w:val="16"/>
              </w:rPr>
              <w:t>REKOMENDACJA ROBOCZA</w:t>
              <w:br/>
              <w:t>Wariant PODSTAWOWY lub OPTYMALNY z etapowaniem CAP/IoT Feed, APN KG PSP i LoRa/TETRA dla urządzeń krytycznych. Budżet roboczy: 148–248 mln zł / 24 mies.; zakres zamyka najpilniejsze luki i prowadzi od publicznego feedu do zarządzanej, odpornej warstwy wzbudzania.</w:t>
            </w:r>
          </w:p>
        </w:tc>
      </w:tr>
    </w:tbl>
    <w:p>
      <w:pPr>
        <w:spacing w:before="0" w:after="0"/>
      </w:pPr>
      <w:r>
        <w:br w:type="page"/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Decyzje wymagające zatwierdzenia kierunkowego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Wybór wariantu budżetowego (rekomendacja: PODSTAWOWY lub OPTYMALNY).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>Zatwierdzenie trójetapowego harmonogramu integracji centralnej: CAP/IoT Feed, APN KG PSP, LoRa/TETRA, wraz z zasadą jednokierunkowego IoT Feed MVP i certyfikacją sterowników względem profilu PL-CAP-DIST-IOT.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Wskazanie zespołu międzyresortowego odpowiedzialnego za wdrożenie warstwy sterowania (z udziałem MSWiA, KG PSP, RCB, Wód Polskich, samorządów wojewódzkich).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Akceptacja zlecenia walidacji terenowej dla 12 priorytetowych lokalizacji nowych syren (Tabela 6).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Akceptacja standardu danych inwentaryzacji syren (formularz, słowniki, walidacje).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Akceptacja standardu raportowania jakości i gotowości systemu (kwartalna ocena pokrycia, lista luk, audyt łączności).</w:t>
      </w:r>
    </w:p>
    <w:p>
      <w:r>
        <w:br w:type="page"/>
      </w:r>
    </w:p>
    <w:p>
      <w:pPr>
        <w:pStyle w:val="Heading1"/>
        <w:pBdr>
          <w:bottom w:val="single" w:color="1F4E79" w:sz="18" w:space="6"/>
        </w:pBdr>
        <w:spacing w:after="200" w:before="320"/>
      </w:pPr>
      <w:r>
        <w:rPr>
          <w:rFonts w:ascii="Calibri" w:cs="Calibri" w:eastAsia="Calibri" w:hAnsi="Calibri"/>
          <w:b/>
          <w:bCs/>
          <w:color w:val="1F4E79"/>
          <w:sz w:val="32"/>
          <w:szCs w:val="32"/>
        </w:rPr>
        <w:t xml:space="preserve">Załączniki tabelaryczne i materiały źródłowe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Lista załączników do dokumentu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500"/>
        <w:gridCol w:w="4138"/>
      </w:tblGrid>
      <w:tr>
        <w:trPr>
          <w:tblHeader/>
        </w:trP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Załącznik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Lokalizacja w pakiecie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Opis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A01_kraj_podsumowanie.csv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zalaczniki/csv/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Podsumowanie krajowe — populacja, zasięg, ryzyko, luki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A02_wojewodztwa.csv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zalaczniki/csv/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Pokrycie obszarów ryzyka — wszystkie województwa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A03_powiaty.csv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zalaczniki/csv/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Pokrycie obszarów ryzyka — wszystkie powiaty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A04_gminy.csv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zalaczniki/csv/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Pokrycie obszarów ryzyka — wszystkie gminy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A05_riskzone_kraj_woj_pow_gmi.csv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zalaczniki/csv/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Pełna hierarchia obszarów ryzyka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A06_riskzone_poza_zasiegiem.csv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zalaczniki/csv/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Osoby w ryzyku poza zasięgiem ≥ 65 dB(A)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A07_luki_priorytetowe.csv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zalaczniki/csv/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Ranking 13 050 luk inwestycyjnych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A08_kandydaci_syreny.csv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zalaczniki/csv/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2 501 kandydackich lokalizacji nowych syren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A09_redundancja.csv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zalaczniki/csv/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Syreny krytyczne — ranking podatności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A10_jakosc_danych.csv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zalaczniki/csv/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Audyt jakości danych inwentaryzacji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A11_integracja_GSM.csv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zalaczniki/csv/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Koszty integracji GSM w podziale na gminy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SOIA_wyniki_tabele.xlsx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zalaczniki/tabele/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Pełen pakiet wyników w Excelu (11 arkuszy)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woj_general_coverage.csv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zalaczniki/tabele/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Pokrycie OGÓLNE województw (Tabela 1)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MAPA_01B_zasiegi_akustyczne.jpg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zalaczniki/mapy/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Mapa zasięgów akustycznych w skali kraju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MAPA_02_deficyt_wojewodztwa.jpg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zalaczniki/mapy/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Mapa deficytu w strefach ryzyka per woj.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MAPA_03_luki_priorytetowe.jpg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zalaczniki/mapy/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Mapa 13 050 luk inwestycyjnych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MAPA_05_hotspoty_top100.jpg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zalaczniki/mapy/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TOP 100 hotspotów populacyjnych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W12_mapa_pokrycia_woj.jpg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zalaczniki/mapy/</w:t>
            </w:r>
          </w:p>
        </w:tc>
        <w:tc>
          <w:tcPr>
            <w:tcW w:type="dxa" w:w="41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Mapa pokrycia ogólnego województw</w:t>
            </w:r>
          </w:p>
        </w:tc>
      </w:tr>
    </w:tbl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Materiały źródłowe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Inwentaryzacja syren — wersja z 5 maja 2026 r., 22 614 rekordów (V9).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Krajowe mapy ryzyka powodziowego ISOK / Wody Polskie — 1 741 142 obiekty (RiskZone).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Siatka ludności GUS NSP 2021 (kratka 500 m), suma 38 035 768 osób.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Granice administracyjne PRG/GUGiK — 16 województw, 380 powiatów, 2 477 gmin.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Dane OpenStreetMap — budynki (17,7 mln), drogi (4,1 mln), 85 317 obiektów wrażliwych.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Pełen pipeline obliczeniowy: V9 → V10 (zasięgi) → V11 (populacja) → V12 (ryzyko/luki) → V13 (rekomendacje).</w:t>
      </w:r>
    </w:p>
    <w:p>
      <w:pPr>
        <w:pStyle w:val="ListParagraph"/>
        <w:spacing w:after="40" w:before="0"/>
      </w:pPr>
      <w:r>
        <w:rPr>
          <w:rFonts w:ascii="Calibri" w:hAnsi="Calibri" w:eastAsia="Calibri"/>
          <w:b w:val="0"/>
          <w:i w:val="0"/>
          <w:sz w:val="20"/>
        </w:rPr>
        <w:t>Projekt KGPSP/CAP_ALERT — PL-CAP, publiczny feed alertów, IoT Feed MVP PL-CAP-DIST-IOT, ADR-0019, ADR-0028, ADR-0032.</w:t>
      </w:r>
    </w:p>
    <w:p>
      <w:pPr>
        <w:pStyle w:val="Heading2"/>
        <w:spacing w:after="140" w:before="26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Ograniczenia interpretacyjne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Modelowane zasięgi nie są certyfikowanym pomiarem propagacji akustycznej — uwzględniają lokalne tłumienie OSM, ale nie zastępują pomiaru terenowego.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Populacja policzona na podstawie GUS NSP 2021 (stan koniec marca 2021) — nie odzwierciedla bieżącej obecności osób w czasie zdarzenia.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Mapy ryzyka powodziowego ISOK opisują obszary ryzyka, nie konkretne prawdopodobieństwo zalania działki.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Koszty są szacunkowe (5 000 zł/integracja GSM, 40 000 zł/nowa syrena) — wymagają uściślenia w studium wykonalności.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Lista priorytetowych nowych lokalizacji wskazuje miejsca do sprawdzenia w terenie, nie projekt wykonawczy montażu.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>Koszty APN KG PSP, zarządzanych modemów/SIM, LoRa i TETRA są szacunkowe — wymagają osobnego studium technicznego, testów producentów oraz decyzji, czy i kiedy wprowadzać zwrotny kanał ACK/telemetrii.</w:t>
      </w:r>
    </w:p>
    <w:p>
      <w:pPr>
        <w:spacing w:after="200" w:before="600" w:line="3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F4E79" w:sz="12"/>
              <w:left w:val="single" w:color="1F4E79" w:sz="24"/>
              <w:bottom w:val="single" w:color="1F4E79" w:sz="12"/>
              <w:right w:val="single" w:color="1F4E79" w:sz="4"/>
            </w:tcBorders>
            <w:shd w:fill="DEEBF7" w:val="clear"/>
            <w:tcMar>
              <w:top w:type="dxa" w:w="160"/>
              <w:left w:type="dxa" w:w="220"/>
              <w:bottom w:type="dxa" w:w="160"/>
              <w:right w:type="dxa" w:w="18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22"/>
                <w:szCs w:val="22"/>
              </w:rPr>
              <w:t xml:space="preserve">STATUS DOKUMENTU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Materiał roboczy do decyzji kierunkowych — wersja 2 z 10 maja 2026 r.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Wykonano w oparciu o etap analityczny V13, indeks projektu z 10 maja 2026 r. i Plan raportu SOIA.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Materiał nie zawiera operacyjnych danych sterowania syrenami ani szczegółów łączności.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Pełne dane techniczne dostępne na zapotrzebowanie po zatwierdzeniu kierunku przez MSWiA / KG PSP.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FBFBF" w:sz="4" w:space="4"/>
      </w:pBdr>
      <w:tabs>
        <w:tab w:val="right" w:pos="9026"/>
      </w:tabs>
    </w:pPr>
    <w:r>
      <w:rPr>
        <w:rFonts w:ascii="Calibri" w:cs="Calibri" w:eastAsia="Calibri" w:hAnsi="Calibri"/>
        <w:color w:val="595959"/>
        <w:sz w:val="18"/>
        <w:szCs w:val="18"/>
      </w:rPr>
      <w:t xml:space="preserve">10 maja 2026 r.</w:t>
    </w:r>
    <w:r>
      <w:rPr>
        <w:rFonts w:ascii="Calibri" w:cs="Calibri" w:eastAsia="Calibri" w:hAnsi="Calibri"/>
        <w:color w:val="595959"/>
        <w:sz w:val="18"/>
        <w:szCs w:val="18"/>
      </w:rPr>
      <w:t xml:space="preserve">	Strona </w:t>
    </w:r>
    <w:r>
      <w:rPr>
        <w:rFonts w:ascii="Calibri" w:cs="Calibri" w:eastAsia="Calibri" w:hAnsi="Calibri"/>
        <w:color w:val="59595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95959"/>
        <w:sz w:val="18"/>
        <w:szCs w:val="18"/>
      </w:rPr>
      <w:t xml:space="preserve"> z </w:t>
    </w:r>
    <w:r>
      <w:rPr>
        <w:rFonts w:ascii="Calibri" w:cs="Calibri" w:eastAsia="Calibri" w:hAnsi="Calibri"/>
        <w:color w:val="59595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4E79" w:sz="6" w:space="4"/>
      </w:pBdr>
      <w:tabs>
        <w:tab w:val="right" w:pos="9026"/>
      </w:tabs>
    </w:pPr>
    <w:r>
      <w:rPr>
        <w:rFonts w:ascii="Calibri" w:cs="Calibri" w:eastAsia="Calibri" w:hAnsi="Calibri"/>
        <w:b/>
        <w:bCs/>
        <w:color w:val="1F4E79"/>
        <w:sz w:val="18"/>
        <w:szCs w:val="18"/>
      </w:rPr>
      <w:t xml:space="preserve">SOIA — Analiza kierunkowa v2</w:t>
    </w:r>
    <w:r>
      <w:rPr>
        <w:rFonts w:ascii="Calibri" w:cs="Calibri" w:eastAsia="Calibri" w:hAnsi="Calibri"/>
        <w:color w:val="595959"/>
        <w:sz w:val="18"/>
        <w:szCs w:val="18"/>
      </w:rPr>
      <w:t xml:space="preserve">	dla MSWiA i KG PSP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20"/>
      <w:outlineLvl w:val="0"/>
    </w:pPr>
    <w:rPr>
      <w:rFonts w:ascii="Calibri" w:cs="Calibri" w:eastAsia="Calibri" w:hAnsi="Calibri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40" w:before="260"/>
      <w:outlineLvl w:val="1"/>
    </w:pPr>
    <w:rPr>
      <w:rFonts w:ascii="Calibri" w:cs="Calibri" w:eastAsia="Calibri" w:hAnsi="Calibri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00" w:before="200"/>
      <w:outlineLvl w:val="2"/>
    </w:pPr>
    <w:rPr>
      <w:rFonts w:ascii="Calibri" w:cs="Calibri" w:eastAsia="Calibri" w:hAnsi="Calibri"/>
      <w:b/>
      <w:bCs/>
      <w:color w:val="595959"/>
      <w:sz w:val="22"/>
      <w:szCs w:val="22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43055341c6486777d57960905b12d4dadf6ca9c1.png"/><Relationship Id="rId10" Type="http://schemas.openxmlformats.org/officeDocument/2006/relationships/image" Target="media/4bbf46da5039524562ef7dbfc2606ee94f2df6f7.jpg"/><Relationship Id="rId11" Type="http://schemas.openxmlformats.org/officeDocument/2006/relationships/image" Target="media/ede16fa8b97bbdfd3bdb8dfdd7f9f773136cb437.png"/><Relationship Id="rId12" Type="http://schemas.openxmlformats.org/officeDocument/2006/relationships/image" Target="media/ba977ace6203e49d539b36e07ebbdacf0937fc1c.jpg"/><Relationship Id="rId13" Type="http://schemas.openxmlformats.org/officeDocument/2006/relationships/image" Target="media/6491406fd505534f29c24aff531354cef99b5222.jpg"/><Relationship Id="rId14" Type="http://schemas.openxmlformats.org/officeDocument/2006/relationships/image" Target="media/a54dc1658568eb33a43b39af0dc92c1cdc7234a7.jpg"/><Relationship Id="rId15" Type="http://schemas.openxmlformats.org/officeDocument/2006/relationships/image" Target="media/494d6695db0f95fad7db718a1c3cc22608a3e6ab.png"/><Relationship Id="rId16" Type="http://schemas.openxmlformats.org/officeDocument/2006/relationships/image" Target="media/77635c2ed209ddcfde6d590e2ec8c3193552a0c4.jpg"/><Relationship Id="rId17" Type="http://schemas.openxmlformats.org/officeDocument/2006/relationships/image" Target="media/43cc5903a013d0bd7e7fdbee3bdd09181efe1373.png"/><Relationship Id="rId18" Type="http://schemas.openxmlformats.org/officeDocument/2006/relationships/image" Target="media/0fa05c8940fac6426f8413dc19c319572721fe1d.jpg"/><Relationship Id="rId19" Type="http://schemas.openxmlformats.org/officeDocument/2006/relationships/image" Target="media/0ddb4dae59071b16fc25c6f96c6699439859bfe0.png"/><Relationship Id="rId20" Type="http://schemas.openxmlformats.org/officeDocument/2006/relationships/image" Target="media/2a329e7146a7580bd0221ef2112cc2e6438416f5.png"/><Relationship Id="rId21" Type="http://schemas.openxmlformats.org/officeDocument/2006/relationships/image" Target="media/7bfd504821fa33bcecc60c1d91de1f8ce2f13f62.png"/><Relationship Id="rId22" Type="http://schemas.openxmlformats.org/officeDocument/2006/relationships/image" Target="media/f38338637e6e8840c939fd2f76ab21845b89a49e.jpg"/><Relationship Id="rId23" Type="http://schemas.openxmlformats.org/officeDocument/2006/relationships/image" Target="media/f1ac0d27c723c3af2e21407fafd30aaa6236ae21.jpg"/><Relationship Id="rId24" Type="http://schemas.openxmlformats.org/officeDocument/2006/relationships/image" Target="media/ce9d75fa65fa48e22ead7392234c3557fcf22e49.jpg"/><Relationship Id="rId25" Type="http://schemas.openxmlformats.org/officeDocument/2006/relationships/image" Target="media/a7d4591e2f8e2ab7f59a6b1e7ea39e97dc8ceff5.png"/><Relationship Id="rId26" Type="http://schemas.openxmlformats.org/officeDocument/2006/relationships/image" Target="media/5dd491f20a22898ed2fb13bedf688e5b3ea5ef57.png"/><Relationship Id="rId27" Type="http://schemas.openxmlformats.org/officeDocument/2006/relationships/image" Target="media/92a1aa3a9da41b9d3c56826ee223dd598a1dfc93.jpg"/><Relationship Id="rId28" Type="http://schemas.openxmlformats.org/officeDocument/2006/relationships/image" Target="media/9d0c3b5684c5a07bf8ea1f97c9ca9294b40616e8.jpg"/><Relationship Id="rId29" Type="http://schemas.openxmlformats.org/officeDocument/2006/relationships/image" Target="media/3e6f3dd7f4b6451b19e54733ebdc94eb7b4a0c3b.png"/><Relationship Id="rId30" Type="http://schemas.openxmlformats.org/officeDocument/2006/relationships/image" Target="media/2c8627b4c1607283607e9136e9ba6a55dbe8e96f.png"/><Relationship Id="rId31" Type="http://schemas.openxmlformats.org/officeDocument/2006/relationships/image" Target="media/f0767a240d4b56665e94bbd36ca79e64dc150afb.png"/><Relationship Id="rId32" Type="http://schemas.openxmlformats.org/officeDocument/2006/relationships/image" Target="media/418364cabcae955571293ddc7ecb3bdcbfc69578.jpg"/><Relationship Id="rId33" Type="http://schemas.openxmlformats.org/officeDocument/2006/relationships/image" Target="media/335fadf6417c6a7fe48a18a34eae9acb17234dc7.png"/><Relationship Id="rId34" Type="http://schemas.openxmlformats.org/officeDocument/2006/relationships/image" Target="media/d673cad733b12521b633b2128741a02a8ce8dca9.png"/><Relationship Id="rId35" Type="http://schemas.openxmlformats.org/officeDocument/2006/relationships/image" Target="media/7da6595c44f46d133cb4a93b504f57e8e5df2033.png"/><Relationship Id="rId36" Type="http://schemas.openxmlformats.org/officeDocument/2006/relationships/image" Target="media/326c8d1df73ca8db570541ddbd68dde925e70c53.png"/><Relationship Id="rId37" Type="http://schemas.openxmlformats.org/officeDocument/2006/relationships/image" Target="media/eaadd3ed3f12f8a2ef0d7a2e3d4552b1fd0b9b09.png"/><Relationship Id="rId3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SOIA — analiza kierunkowa v2 dla MSWiA i KG PSP</dc:title>
  <dc:creator>KG PSP</dc:creator>
  <dc:description>Pokrycie ogólnokrajowe → luki → obszary ryzyka powodziowego → doposażenie → integracja GSM/TETRA</dc:description>
  <cp:lastModifiedBy>Un-named</cp:lastModifiedBy>
  <cp:revision>1</cp:revision>
  <dcterms:created xsi:type="dcterms:W3CDTF">2026-05-10T10:26:06.030Z</dcterms:created>
  <dcterms:modified xsi:type="dcterms:W3CDTF">2026-05-10T10:26:06.030Z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